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F3E3AE">
      <w:pPr>
        <w:spacing w:line="578" w:lineRule="exact"/>
        <w:jc w:val="center"/>
        <w:rPr>
          <w:rFonts w:ascii="方正小标宋简体" w:eastAsia="方正小标宋简体"/>
          <w:sz w:val="44"/>
          <w:szCs w:val="44"/>
        </w:rPr>
      </w:pPr>
      <w:bookmarkStart w:id="0" w:name="_GoBack"/>
      <w:bookmarkEnd w:id="0"/>
      <w:r>
        <w:rPr>
          <w:rFonts w:hint="eastAsia" w:ascii="方正小标宋简体" w:eastAsia="方正小标宋简体"/>
          <w:sz w:val="44"/>
          <w:szCs w:val="44"/>
        </w:rPr>
        <w:t>黑龙江省林业和草原行政处罚裁量权基准</w:t>
      </w:r>
    </w:p>
    <w:p w14:paraId="1670369F">
      <w:pPr>
        <w:spacing w:line="578" w:lineRule="exact"/>
        <w:jc w:val="center"/>
        <w:rPr>
          <w:rFonts w:ascii="楷体_GB2312" w:eastAsia="楷体_GB2312"/>
          <w:sz w:val="32"/>
          <w:szCs w:val="32"/>
        </w:rPr>
      </w:pPr>
      <w:r>
        <w:rPr>
          <w:rFonts w:hint="eastAsia" w:ascii="楷体_GB2312" w:eastAsia="楷体_GB2312"/>
          <w:sz w:val="32"/>
          <w:szCs w:val="32"/>
        </w:rPr>
        <w:t>（总则）</w:t>
      </w:r>
    </w:p>
    <w:p w14:paraId="3CDFF514">
      <w:pPr>
        <w:spacing w:line="578" w:lineRule="exact"/>
        <w:ind w:firstLine="640" w:firstLineChars="200"/>
        <w:jc w:val="left"/>
        <w:rPr>
          <w:rFonts w:ascii="仿宋_GB2312" w:eastAsia="仿宋_GB2312"/>
          <w:sz w:val="32"/>
          <w:szCs w:val="32"/>
        </w:rPr>
      </w:pPr>
    </w:p>
    <w:p w14:paraId="728E6FD1">
      <w:pPr>
        <w:spacing w:line="578" w:lineRule="exact"/>
        <w:ind w:firstLine="640" w:firstLineChars="200"/>
        <w:rPr>
          <w:rFonts w:ascii="仿宋_GB2312" w:eastAsia="仿宋_GB2312"/>
          <w:sz w:val="32"/>
          <w:szCs w:val="32"/>
        </w:rPr>
      </w:pPr>
      <w:r>
        <w:rPr>
          <w:rFonts w:hint="eastAsia" w:ascii="黑体" w:hAnsi="黑体" w:eastAsia="黑体"/>
          <w:sz w:val="32"/>
          <w:szCs w:val="32"/>
        </w:rPr>
        <w:t xml:space="preserve">第一条  </w:t>
      </w:r>
      <w:r>
        <w:rPr>
          <w:rFonts w:hint="eastAsia" w:ascii="仿宋_GB2312" w:eastAsia="仿宋_GB2312"/>
          <w:sz w:val="32"/>
          <w:szCs w:val="32"/>
        </w:rPr>
        <w:t>为规范全省林业和草原行政主管部门（含法律、法规授权的具有管理公共事务职能的组织，下同）行使行政裁量权，促进依法行政、合理行政，保护公民、法人或者其他组织的合法权益，根据《中华人民共和国行政处罚法》《黑龙江省规范行政裁量权办法》等法律、法规、规章，结合本省实际，制定本基准。</w:t>
      </w:r>
    </w:p>
    <w:p w14:paraId="1A778B93">
      <w:pPr>
        <w:spacing w:line="578" w:lineRule="exact"/>
        <w:ind w:firstLine="640" w:firstLineChars="200"/>
        <w:rPr>
          <w:rFonts w:ascii="仿宋_GB2312" w:eastAsia="仿宋_GB2312"/>
          <w:sz w:val="32"/>
          <w:szCs w:val="32"/>
        </w:rPr>
      </w:pPr>
      <w:r>
        <w:rPr>
          <w:rFonts w:ascii="黑体" w:hAnsi="黑体" w:eastAsia="黑体"/>
          <w:sz w:val="32"/>
          <w:szCs w:val="32"/>
        </w:rPr>
        <w:t>第二条</w:t>
      </w:r>
      <w:r>
        <w:rPr>
          <w:rFonts w:hint="eastAsia" w:ascii="仿宋_GB2312" w:eastAsia="仿宋_GB2312"/>
          <w:sz w:val="32"/>
          <w:szCs w:val="32"/>
        </w:rPr>
        <w:t xml:space="preserve">  全省各级林业和草原行政主管部门依法实施行政处罚，适用本基准。法律、法规、规章另有规定的，从其规定。</w:t>
      </w:r>
    </w:p>
    <w:p w14:paraId="703B3575">
      <w:pPr>
        <w:spacing w:line="578" w:lineRule="exact"/>
        <w:ind w:firstLine="640" w:firstLineChars="200"/>
        <w:rPr>
          <w:rFonts w:ascii="仿宋_GB2312" w:eastAsia="仿宋_GB2312"/>
          <w:sz w:val="32"/>
          <w:szCs w:val="32"/>
        </w:rPr>
      </w:pPr>
      <w:r>
        <w:rPr>
          <w:rFonts w:hint="eastAsia" w:ascii="仿宋_GB2312" w:eastAsia="仿宋_GB2312"/>
          <w:sz w:val="32"/>
          <w:szCs w:val="32"/>
        </w:rPr>
        <w:t>未经公布的规定，不得作为行政处罚的依据。</w:t>
      </w:r>
    </w:p>
    <w:p w14:paraId="070A909B">
      <w:pPr>
        <w:spacing w:line="578" w:lineRule="exact"/>
        <w:ind w:firstLine="640" w:firstLineChars="200"/>
        <w:rPr>
          <w:rFonts w:ascii="仿宋_GB2312" w:eastAsia="仿宋_GB2312"/>
          <w:sz w:val="32"/>
          <w:szCs w:val="32"/>
        </w:rPr>
      </w:pPr>
      <w:r>
        <w:rPr>
          <w:rFonts w:hint="eastAsia" w:ascii="黑体" w:hAnsi="黑体" w:eastAsia="黑体"/>
          <w:sz w:val="32"/>
          <w:szCs w:val="32"/>
        </w:rPr>
        <w:t xml:space="preserve">第三条  </w:t>
      </w:r>
      <w:r>
        <w:rPr>
          <w:rFonts w:hint="eastAsia" w:ascii="仿宋_GB2312" w:eastAsia="仿宋_GB2312"/>
          <w:sz w:val="32"/>
          <w:szCs w:val="32"/>
        </w:rPr>
        <w:t>实施林业和草原行政处罚必须以事实为依据，与违法行为的事实、性质、情节以及社会危害程度相当。</w:t>
      </w:r>
    </w:p>
    <w:p w14:paraId="71CBEBB8">
      <w:pPr>
        <w:spacing w:line="578" w:lineRule="exact"/>
        <w:ind w:firstLine="640" w:firstLineChars="200"/>
        <w:rPr>
          <w:rFonts w:ascii="仿宋_GB2312" w:eastAsia="仿宋_GB2312"/>
          <w:sz w:val="32"/>
          <w:szCs w:val="32"/>
        </w:rPr>
      </w:pPr>
      <w:r>
        <w:rPr>
          <w:rFonts w:hint="eastAsia" w:ascii="黑体" w:hAnsi="黑体" w:eastAsia="黑体"/>
          <w:sz w:val="32"/>
          <w:szCs w:val="32"/>
        </w:rPr>
        <w:t xml:space="preserve">第四条  </w:t>
      </w:r>
      <w:r>
        <w:rPr>
          <w:rFonts w:hint="eastAsia" w:ascii="仿宋_GB2312" w:eastAsia="仿宋_GB2312"/>
          <w:sz w:val="32"/>
          <w:szCs w:val="32"/>
        </w:rPr>
        <w:t>对违法行为的事实、性质、情节以及社会危害程度等因素基本相同的同类当事人，行使裁量权所适用的法律依据、处罚种类和幅度应当基本相同。</w:t>
      </w:r>
    </w:p>
    <w:p w14:paraId="729E2432">
      <w:pPr>
        <w:spacing w:line="578" w:lineRule="exact"/>
        <w:ind w:firstLine="640" w:firstLineChars="200"/>
        <w:rPr>
          <w:rFonts w:ascii="仿宋_GB2312" w:eastAsia="仿宋_GB2312"/>
          <w:sz w:val="32"/>
          <w:szCs w:val="32"/>
        </w:rPr>
      </w:pPr>
      <w:r>
        <w:rPr>
          <w:rFonts w:hint="eastAsia" w:ascii="黑体" w:hAnsi="黑体" w:eastAsia="黑体"/>
          <w:sz w:val="32"/>
          <w:szCs w:val="32"/>
        </w:rPr>
        <w:t xml:space="preserve">第五条  </w:t>
      </w:r>
      <w:r>
        <w:rPr>
          <w:rFonts w:hint="eastAsia" w:ascii="仿宋_GB2312" w:eastAsia="仿宋_GB2312"/>
          <w:sz w:val="32"/>
          <w:szCs w:val="32"/>
        </w:rPr>
        <w:t>实施林业和草原行政处罚，纠正违法行为，应当坚持处罚与教育相结合，教育公民、法人或者其他组织自觉守法。</w:t>
      </w:r>
    </w:p>
    <w:p w14:paraId="285BABD7">
      <w:pPr>
        <w:spacing w:line="578" w:lineRule="exact"/>
        <w:ind w:firstLine="640" w:firstLineChars="200"/>
        <w:rPr>
          <w:rFonts w:ascii="仿宋_GB2312" w:hAnsi="黑体" w:eastAsia="仿宋_GB2312"/>
          <w:sz w:val="32"/>
          <w:szCs w:val="32"/>
        </w:rPr>
      </w:pPr>
      <w:r>
        <w:rPr>
          <w:rFonts w:hint="eastAsia" w:ascii="黑体" w:hAnsi="黑体" w:eastAsia="黑体"/>
          <w:sz w:val="32"/>
          <w:szCs w:val="32"/>
        </w:rPr>
        <w:t xml:space="preserve">第六条  </w:t>
      </w:r>
      <w:r>
        <w:rPr>
          <w:rFonts w:hint="eastAsia" w:ascii="仿宋_GB2312" w:hAnsi="黑体" w:eastAsia="仿宋_GB2312"/>
          <w:sz w:val="32"/>
          <w:szCs w:val="32"/>
        </w:rPr>
        <w:t>实施林业和草原行政处罚应当遵守法定程序。</w:t>
      </w:r>
    </w:p>
    <w:p w14:paraId="0094FF5A">
      <w:pPr>
        <w:spacing w:line="578" w:lineRule="exact"/>
        <w:ind w:firstLine="640" w:firstLineChars="200"/>
        <w:rPr>
          <w:rFonts w:ascii="仿宋_GB2312" w:hAnsi="黑体" w:eastAsia="仿宋_GB2312"/>
          <w:sz w:val="32"/>
          <w:szCs w:val="32"/>
        </w:rPr>
      </w:pPr>
      <w:r>
        <w:rPr>
          <w:rFonts w:hint="eastAsia" w:ascii="仿宋_GB2312" w:eastAsia="仿宋_GB2312"/>
          <w:sz w:val="32"/>
          <w:szCs w:val="32"/>
        </w:rPr>
        <w:t>林业和草原行政主管部门</w:t>
      </w:r>
      <w:r>
        <w:rPr>
          <w:rFonts w:hint="eastAsia" w:ascii="仿宋_GB2312" w:hAnsi="黑体" w:eastAsia="仿宋_GB2312"/>
          <w:sz w:val="32"/>
          <w:szCs w:val="32"/>
        </w:rPr>
        <w:t>行使行政处罚裁量权应当执行有关法律、法规、规章规定的回避、公开、告知、听证、送达等程序制度。</w:t>
      </w:r>
    </w:p>
    <w:p w14:paraId="12AC4593">
      <w:pPr>
        <w:spacing w:line="578" w:lineRule="exact"/>
        <w:ind w:firstLine="640" w:firstLineChars="200"/>
        <w:rPr>
          <w:rFonts w:ascii="仿宋_GB2312" w:eastAsia="仿宋_GB2312"/>
          <w:sz w:val="32"/>
          <w:szCs w:val="32"/>
        </w:rPr>
      </w:pPr>
      <w:r>
        <w:rPr>
          <w:rFonts w:hint="eastAsia" w:ascii="黑体" w:hAnsi="黑体" w:eastAsia="黑体"/>
          <w:sz w:val="32"/>
          <w:szCs w:val="32"/>
        </w:rPr>
        <w:t xml:space="preserve">第七条  </w:t>
      </w:r>
      <w:r>
        <w:rPr>
          <w:rFonts w:hint="eastAsia" w:ascii="仿宋_GB2312" w:eastAsia="仿宋_GB2312"/>
          <w:sz w:val="32"/>
          <w:szCs w:val="32"/>
        </w:rPr>
        <w:t>对当事人的同一个违法行为，不得给予两次以上罚款的行政处罚。同一个违法行为违反多个法律规范应当给予罚款处罚的，按照罚款数额高的规定处罚。</w:t>
      </w:r>
    </w:p>
    <w:p w14:paraId="43AD2879">
      <w:pPr>
        <w:spacing w:line="578" w:lineRule="exact"/>
        <w:ind w:firstLine="640" w:firstLineChars="200"/>
        <w:rPr>
          <w:rFonts w:ascii="仿宋_GB2312" w:eastAsia="仿宋_GB2312"/>
          <w:sz w:val="32"/>
          <w:szCs w:val="32"/>
        </w:rPr>
      </w:pPr>
      <w:r>
        <w:rPr>
          <w:rFonts w:hint="eastAsia" w:ascii="黑体" w:hAnsi="黑体" w:eastAsia="黑体"/>
          <w:sz w:val="32"/>
          <w:szCs w:val="32"/>
        </w:rPr>
        <w:t xml:space="preserve">第八条  </w:t>
      </w:r>
      <w:r>
        <w:rPr>
          <w:rFonts w:hint="eastAsia" w:ascii="仿宋_GB2312" w:eastAsia="仿宋_GB2312"/>
          <w:sz w:val="32"/>
          <w:szCs w:val="32"/>
        </w:rPr>
        <w:t>具有法定的从重、从轻、减轻或者不予行政处罚情形的，应当依法从重、从轻、减轻或者不予处罚。</w:t>
      </w:r>
    </w:p>
    <w:p w14:paraId="500451BE">
      <w:pPr>
        <w:spacing w:line="578" w:lineRule="exact"/>
        <w:ind w:firstLine="640" w:firstLineChars="200"/>
        <w:rPr>
          <w:rFonts w:ascii="仿宋_GB2312" w:eastAsia="仿宋_GB2312"/>
          <w:sz w:val="32"/>
          <w:szCs w:val="32"/>
        </w:rPr>
      </w:pPr>
      <w:r>
        <w:rPr>
          <w:rFonts w:hint="eastAsia" w:ascii="黑体" w:hAnsi="黑体" w:eastAsia="黑体"/>
          <w:sz w:val="32"/>
          <w:szCs w:val="32"/>
        </w:rPr>
        <w:t xml:space="preserve">第九条  </w:t>
      </w:r>
      <w:r>
        <w:rPr>
          <w:rFonts w:hint="eastAsia" w:ascii="仿宋_GB2312" w:eastAsia="仿宋_GB2312"/>
          <w:sz w:val="32"/>
          <w:szCs w:val="32"/>
        </w:rPr>
        <w:t>具有从重处罚情节的，应当根据情节在基准幅度内选择较高的额度或者在高基准幅度内选择适当的额度进行处罚。</w:t>
      </w:r>
    </w:p>
    <w:p w14:paraId="7BB7F14B">
      <w:pPr>
        <w:spacing w:line="578" w:lineRule="exact"/>
        <w:ind w:firstLine="640" w:firstLineChars="200"/>
        <w:rPr>
          <w:rFonts w:ascii="仿宋_GB2312" w:eastAsia="仿宋_GB2312"/>
          <w:sz w:val="32"/>
          <w:szCs w:val="32"/>
        </w:rPr>
      </w:pPr>
      <w:r>
        <w:rPr>
          <w:rFonts w:hint="eastAsia" w:ascii="黑体" w:hAnsi="黑体" w:eastAsia="黑体"/>
          <w:sz w:val="32"/>
          <w:szCs w:val="32"/>
        </w:rPr>
        <w:t xml:space="preserve">第十条  </w:t>
      </w:r>
      <w:r>
        <w:rPr>
          <w:rFonts w:hint="eastAsia" w:ascii="仿宋_GB2312" w:eastAsia="仿宋_GB2312"/>
          <w:sz w:val="32"/>
          <w:szCs w:val="32"/>
        </w:rPr>
        <w:t>具有从轻处罚情节的，应当根据情节在基准幅度内选择较低的额度或者在低基准幅度内选择适当的额度进行处罚。</w:t>
      </w:r>
    </w:p>
    <w:p w14:paraId="04CFDCB5">
      <w:pPr>
        <w:spacing w:line="578" w:lineRule="exact"/>
        <w:ind w:firstLine="640" w:firstLineChars="200"/>
        <w:rPr>
          <w:rFonts w:ascii="仿宋_GB2312" w:eastAsia="仿宋_GB2312"/>
          <w:sz w:val="32"/>
          <w:szCs w:val="32"/>
        </w:rPr>
      </w:pPr>
      <w:r>
        <w:rPr>
          <w:rFonts w:hint="eastAsia" w:ascii="黑体" w:hAnsi="黑体" w:eastAsia="黑体"/>
          <w:sz w:val="32"/>
          <w:szCs w:val="32"/>
        </w:rPr>
        <w:t xml:space="preserve">第十一条  </w:t>
      </w:r>
      <w:r>
        <w:rPr>
          <w:rFonts w:hint="eastAsia" w:ascii="仿宋_GB2312" w:eastAsia="仿宋_GB2312"/>
          <w:sz w:val="32"/>
          <w:szCs w:val="32"/>
        </w:rPr>
        <w:t>具有减轻处罚情节的，应当根据情节选择低于法定的最轻处罚种类或者最低处罚幅度进行处罚。</w:t>
      </w:r>
    </w:p>
    <w:p w14:paraId="7637A646">
      <w:pPr>
        <w:spacing w:line="578" w:lineRule="exact"/>
        <w:ind w:firstLine="640" w:firstLineChars="200"/>
        <w:rPr>
          <w:rFonts w:ascii="仿宋_GB2312" w:eastAsia="仿宋_GB2312"/>
          <w:sz w:val="32"/>
          <w:szCs w:val="32"/>
        </w:rPr>
      </w:pPr>
      <w:r>
        <w:rPr>
          <w:rFonts w:hint="eastAsia" w:ascii="黑体" w:hAnsi="黑体" w:eastAsia="黑体"/>
          <w:sz w:val="32"/>
          <w:szCs w:val="32"/>
        </w:rPr>
        <w:t xml:space="preserve">第十二条  </w:t>
      </w:r>
      <w:r>
        <w:rPr>
          <w:rFonts w:hint="eastAsia" w:ascii="仿宋_GB2312" w:eastAsia="仿宋_GB2312"/>
          <w:sz w:val="32"/>
          <w:szCs w:val="32"/>
        </w:rPr>
        <w:t>当事人有下列情形之一的，应当依法从重处罚：</w:t>
      </w:r>
    </w:p>
    <w:p w14:paraId="1BC2B586">
      <w:pPr>
        <w:spacing w:line="578" w:lineRule="exact"/>
        <w:ind w:firstLine="640" w:firstLineChars="200"/>
        <w:rPr>
          <w:rFonts w:ascii="仿宋_GB2312" w:eastAsia="仿宋_GB2312"/>
          <w:sz w:val="32"/>
          <w:szCs w:val="32"/>
        </w:rPr>
      </w:pPr>
      <w:r>
        <w:rPr>
          <w:rFonts w:hint="eastAsia" w:ascii="仿宋_GB2312" w:eastAsia="仿宋_GB2312"/>
          <w:sz w:val="32"/>
          <w:szCs w:val="32"/>
        </w:rPr>
        <w:t>（一）违法情节恶劣，造成严重后果的；</w:t>
      </w:r>
    </w:p>
    <w:p w14:paraId="181F52DF">
      <w:pPr>
        <w:spacing w:line="578" w:lineRule="exact"/>
        <w:ind w:firstLine="640" w:firstLineChars="200"/>
        <w:rPr>
          <w:rFonts w:ascii="仿宋_GB2312" w:eastAsia="仿宋_GB2312"/>
          <w:sz w:val="32"/>
          <w:szCs w:val="32"/>
        </w:rPr>
      </w:pPr>
      <w:r>
        <w:rPr>
          <w:rFonts w:hint="eastAsia" w:ascii="仿宋_GB2312" w:eastAsia="仿宋_GB2312"/>
          <w:sz w:val="32"/>
          <w:szCs w:val="32"/>
        </w:rPr>
        <w:t>（二）不听劝阻，继续实施违法行为的；</w:t>
      </w:r>
    </w:p>
    <w:p w14:paraId="4E4A4222">
      <w:pPr>
        <w:spacing w:line="578" w:lineRule="exact"/>
        <w:ind w:firstLine="640" w:firstLineChars="200"/>
        <w:rPr>
          <w:rFonts w:ascii="仿宋_GB2312" w:eastAsia="仿宋_GB2312"/>
          <w:sz w:val="32"/>
          <w:szCs w:val="32"/>
        </w:rPr>
      </w:pPr>
      <w:r>
        <w:rPr>
          <w:rFonts w:hint="eastAsia" w:ascii="仿宋_GB2312" w:eastAsia="仿宋_GB2312"/>
          <w:sz w:val="32"/>
          <w:szCs w:val="32"/>
        </w:rPr>
        <w:t>（三）两人以上共同实施违法行为中起主要作用的；</w:t>
      </w:r>
    </w:p>
    <w:p w14:paraId="7B636E4A">
      <w:pPr>
        <w:spacing w:line="578" w:lineRule="exact"/>
        <w:ind w:firstLine="640" w:firstLineChars="200"/>
        <w:rPr>
          <w:rFonts w:ascii="仿宋_GB2312" w:eastAsia="仿宋_GB2312"/>
          <w:sz w:val="32"/>
          <w:szCs w:val="32"/>
        </w:rPr>
      </w:pPr>
      <w:r>
        <w:rPr>
          <w:rFonts w:hint="eastAsia" w:ascii="仿宋_GB2312" w:eastAsia="仿宋_GB2312"/>
          <w:sz w:val="32"/>
          <w:szCs w:val="32"/>
        </w:rPr>
        <w:t>（四）多次实施违法行为，屡教不改的；</w:t>
      </w:r>
    </w:p>
    <w:p w14:paraId="4951DF30">
      <w:pPr>
        <w:spacing w:line="578" w:lineRule="exact"/>
        <w:ind w:firstLine="640" w:firstLineChars="200"/>
        <w:rPr>
          <w:rFonts w:ascii="仿宋_GB2312" w:eastAsia="仿宋_GB2312"/>
          <w:sz w:val="32"/>
          <w:szCs w:val="32"/>
        </w:rPr>
      </w:pPr>
      <w:r>
        <w:rPr>
          <w:rFonts w:hint="eastAsia" w:ascii="仿宋_GB2312" w:eastAsia="仿宋_GB2312"/>
          <w:sz w:val="32"/>
          <w:szCs w:val="32"/>
        </w:rPr>
        <w:t>（五）妨碍执法人员查处其违法行为的；</w:t>
      </w:r>
    </w:p>
    <w:p w14:paraId="6DCE3612">
      <w:pPr>
        <w:spacing w:line="578" w:lineRule="exact"/>
        <w:ind w:firstLine="640" w:firstLineChars="200"/>
        <w:rPr>
          <w:rFonts w:ascii="仿宋_GB2312" w:eastAsia="仿宋_GB2312"/>
          <w:sz w:val="32"/>
          <w:szCs w:val="32"/>
        </w:rPr>
      </w:pPr>
      <w:r>
        <w:rPr>
          <w:rFonts w:hint="eastAsia" w:ascii="仿宋_GB2312" w:eastAsia="仿宋_GB2312"/>
          <w:sz w:val="32"/>
          <w:szCs w:val="32"/>
        </w:rPr>
        <w:t>（六）隐匿、销毁、篡改违法证据的；</w:t>
      </w:r>
    </w:p>
    <w:p w14:paraId="180CD1F9">
      <w:pPr>
        <w:spacing w:line="578" w:lineRule="exact"/>
        <w:ind w:firstLine="640" w:firstLineChars="200"/>
        <w:rPr>
          <w:rFonts w:ascii="仿宋_GB2312" w:eastAsia="仿宋_GB2312"/>
          <w:sz w:val="32"/>
          <w:szCs w:val="32"/>
        </w:rPr>
      </w:pPr>
      <w:r>
        <w:rPr>
          <w:rFonts w:hint="eastAsia" w:ascii="仿宋_GB2312" w:eastAsia="仿宋_GB2312"/>
          <w:sz w:val="32"/>
          <w:szCs w:val="32"/>
        </w:rPr>
        <w:t>（七）胁迫、诱骗他人或者教唆未成年人实施违法行为的；</w:t>
      </w:r>
    </w:p>
    <w:p w14:paraId="219971F2">
      <w:pPr>
        <w:spacing w:line="578" w:lineRule="exact"/>
        <w:ind w:firstLine="640" w:firstLineChars="200"/>
        <w:rPr>
          <w:rFonts w:ascii="仿宋_GB2312" w:eastAsia="仿宋_GB2312"/>
          <w:sz w:val="32"/>
          <w:szCs w:val="32"/>
        </w:rPr>
      </w:pPr>
      <w:r>
        <w:rPr>
          <w:rFonts w:hint="eastAsia" w:ascii="仿宋_GB2312" w:eastAsia="仿宋_GB2312"/>
          <w:sz w:val="32"/>
          <w:szCs w:val="32"/>
        </w:rPr>
        <w:t>（八）对举报人、证人打击报复的；</w:t>
      </w:r>
    </w:p>
    <w:p w14:paraId="175FA144">
      <w:pPr>
        <w:spacing w:line="578" w:lineRule="exact"/>
        <w:ind w:firstLine="640" w:firstLineChars="200"/>
        <w:rPr>
          <w:rFonts w:ascii="仿宋_GB2312" w:eastAsia="仿宋_GB2312"/>
          <w:sz w:val="32"/>
          <w:szCs w:val="32"/>
        </w:rPr>
      </w:pPr>
      <w:r>
        <w:rPr>
          <w:rFonts w:hint="eastAsia" w:ascii="仿宋_GB2312" w:eastAsia="仿宋_GB2312"/>
          <w:sz w:val="32"/>
          <w:szCs w:val="32"/>
        </w:rPr>
        <w:t>（九）在发生自然灾害、突发公共事件或其他非常情况下实施违法行为的；</w:t>
      </w:r>
    </w:p>
    <w:p w14:paraId="36CE693A">
      <w:pPr>
        <w:spacing w:line="578" w:lineRule="exact"/>
        <w:ind w:firstLine="640" w:firstLineChars="200"/>
        <w:rPr>
          <w:rFonts w:ascii="仿宋_GB2312" w:eastAsia="仿宋_GB2312"/>
          <w:sz w:val="32"/>
          <w:szCs w:val="32"/>
        </w:rPr>
      </w:pPr>
      <w:r>
        <w:rPr>
          <w:rFonts w:hint="eastAsia" w:ascii="仿宋_GB2312" w:eastAsia="仿宋_GB2312"/>
          <w:sz w:val="32"/>
          <w:szCs w:val="32"/>
        </w:rPr>
        <w:t>（十）法律、法规、规章规定的其他应当从重处罚的情形。</w:t>
      </w:r>
    </w:p>
    <w:p w14:paraId="3E326789">
      <w:pPr>
        <w:spacing w:line="578" w:lineRule="exact"/>
        <w:ind w:firstLine="640" w:firstLineChars="200"/>
        <w:rPr>
          <w:rFonts w:ascii="仿宋_GB2312" w:eastAsia="仿宋_GB2312"/>
          <w:sz w:val="32"/>
          <w:szCs w:val="32"/>
        </w:rPr>
      </w:pPr>
      <w:r>
        <w:rPr>
          <w:rFonts w:hint="eastAsia" w:ascii="黑体" w:hAnsi="黑体" w:eastAsia="黑体"/>
          <w:sz w:val="32"/>
          <w:szCs w:val="32"/>
        </w:rPr>
        <w:t xml:space="preserve">第十三条  </w:t>
      </w:r>
      <w:r>
        <w:rPr>
          <w:rFonts w:hint="eastAsia" w:ascii="仿宋_GB2312" w:eastAsia="仿宋_GB2312"/>
          <w:sz w:val="32"/>
          <w:szCs w:val="32"/>
        </w:rPr>
        <w:t xml:space="preserve">有下列情形之一的，应当依法从轻或者减轻行政处罚： </w:t>
      </w:r>
    </w:p>
    <w:p w14:paraId="5783394A">
      <w:pPr>
        <w:spacing w:line="578" w:lineRule="exact"/>
        <w:ind w:firstLine="640" w:firstLineChars="200"/>
        <w:rPr>
          <w:rFonts w:ascii="仿宋_GB2312" w:eastAsia="仿宋_GB2312"/>
          <w:sz w:val="32"/>
          <w:szCs w:val="32"/>
        </w:rPr>
      </w:pPr>
      <w:r>
        <w:rPr>
          <w:rFonts w:hint="eastAsia" w:ascii="仿宋_GB2312" w:eastAsia="仿宋_GB2312"/>
          <w:sz w:val="32"/>
          <w:szCs w:val="32"/>
        </w:rPr>
        <w:t>（一）主动消除或者减轻违法行为危害后果的；</w:t>
      </w:r>
    </w:p>
    <w:p w14:paraId="7BECCC0B">
      <w:pPr>
        <w:spacing w:line="578" w:lineRule="exact"/>
        <w:ind w:firstLine="640" w:firstLineChars="200"/>
        <w:rPr>
          <w:rFonts w:ascii="仿宋_GB2312" w:eastAsia="仿宋_GB2312"/>
          <w:sz w:val="32"/>
          <w:szCs w:val="32"/>
        </w:rPr>
      </w:pPr>
      <w:r>
        <w:rPr>
          <w:rFonts w:hint="eastAsia" w:ascii="仿宋_GB2312" w:eastAsia="仿宋_GB2312"/>
          <w:sz w:val="32"/>
          <w:szCs w:val="32"/>
        </w:rPr>
        <w:t>（二）受他人胁迫或者诱骗实施违法行为的；</w:t>
      </w:r>
    </w:p>
    <w:p w14:paraId="497E3C34">
      <w:pPr>
        <w:spacing w:line="578" w:lineRule="exact"/>
        <w:ind w:firstLine="640" w:firstLineChars="200"/>
        <w:rPr>
          <w:rFonts w:ascii="仿宋_GB2312" w:eastAsia="仿宋_GB2312"/>
          <w:sz w:val="32"/>
          <w:szCs w:val="32"/>
        </w:rPr>
      </w:pPr>
      <w:r>
        <w:rPr>
          <w:rFonts w:hint="eastAsia" w:ascii="仿宋_GB2312" w:eastAsia="仿宋_GB2312"/>
          <w:sz w:val="32"/>
          <w:szCs w:val="32"/>
        </w:rPr>
        <w:t>（三）主动供述行政机关尚未掌握的违法行为的；</w:t>
      </w:r>
    </w:p>
    <w:p w14:paraId="462B2B3C">
      <w:pPr>
        <w:spacing w:line="578" w:lineRule="exact"/>
        <w:ind w:firstLine="640" w:firstLineChars="200"/>
        <w:rPr>
          <w:rFonts w:ascii="仿宋_GB2312" w:eastAsia="仿宋_GB2312"/>
          <w:sz w:val="32"/>
          <w:szCs w:val="32"/>
        </w:rPr>
      </w:pPr>
      <w:r>
        <w:rPr>
          <w:rFonts w:hint="eastAsia" w:ascii="仿宋_GB2312" w:eastAsia="仿宋_GB2312"/>
          <w:sz w:val="32"/>
          <w:szCs w:val="32"/>
        </w:rPr>
        <w:t>（四）配合行政机关查处违法行为有立功表现的；</w:t>
      </w:r>
    </w:p>
    <w:p w14:paraId="424EB290">
      <w:pPr>
        <w:spacing w:line="578" w:lineRule="exact"/>
        <w:ind w:firstLine="640" w:firstLineChars="200"/>
        <w:rPr>
          <w:rFonts w:ascii="仿宋_GB2312" w:eastAsia="仿宋_GB2312"/>
          <w:sz w:val="32"/>
          <w:szCs w:val="32"/>
        </w:rPr>
      </w:pPr>
      <w:r>
        <w:rPr>
          <w:rFonts w:hint="eastAsia" w:ascii="仿宋_GB2312" w:eastAsia="仿宋_GB2312"/>
          <w:sz w:val="32"/>
          <w:szCs w:val="32"/>
        </w:rPr>
        <w:t>（五）已满十四周岁不满十八周岁的未成年人有违法行为的；</w:t>
      </w:r>
    </w:p>
    <w:p w14:paraId="2BC1064D">
      <w:pPr>
        <w:spacing w:line="578" w:lineRule="exact"/>
        <w:ind w:firstLine="640" w:firstLineChars="200"/>
        <w:rPr>
          <w:rFonts w:ascii="仿宋_GB2312" w:eastAsia="仿宋_GB2312"/>
          <w:sz w:val="32"/>
          <w:szCs w:val="32"/>
        </w:rPr>
      </w:pPr>
      <w:r>
        <w:rPr>
          <w:rFonts w:hint="eastAsia" w:ascii="仿宋_GB2312" w:eastAsia="仿宋_GB2312"/>
          <w:sz w:val="32"/>
          <w:szCs w:val="32"/>
        </w:rPr>
        <w:t>（六）法律、法规、规章规定其他应当从轻或者减轻行政处罚的。</w:t>
      </w:r>
    </w:p>
    <w:p w14:paraId="75EA7AD2">
      <w:pPr>
        <w:spacing w:line="578" w:lineRule="exact"/>
        <w:ind w:firstLine="640" w:firstLineChars="200"/>
        <w:rPr>
          <w:rFonts w:ascii="仿宋_GB2312" w:eastAsia="仿宋_GB2312"/>
          <w:sz w:val="32"/>
          <w:szCs w:val="32"/>
        </w:rPr>
      </w:pPr>
      <w:r>
        <w:rPr>
          <w:rFonts w:hint="eastAsia" w:ascii="仿宋_GB2312" w:eastAsia="仿宋_GB2312"/>
          <w:sz w:val="32"/>
          <w:szCs w:val="32"/>
        </w:rPr>
        <w:t>尚未完全丧失辨认或者控制自己行为能力的精神病人、智力残疾人有违法行为的，可以从轻或者减轻行政处罚。</w:t>
      </w:r>
    </w:p>
    <w:p w14:paraId="2E5EC878">
      <w:pPr>
        <w:spacing w:line="578" w:lineRule="exact"/>
        <w:ind w:firstLine="640" w:firstLineChars="200"/>
        <w:rPr>
          <w:rFonts w:ascii="仿宋_GB2312" w:eastAsia="仿宋_GB2312"/>
          <w:sz w:val="32"/>
          <w:szCs w:val="32"/>
        </w:rPr>
      </w:pPr>
      <w:r>
        <w:rPr>
          <w:rFonts w:hint="eastAsia" w:ascii="黑体" w:hAnsi="黑体" w:eastAsia="黑体"/>
          <w:sz w:val="32"/>
          <w:szCs w:val="32"/>
        </w:rPr>
        <w:t xml:space="preserve">第十四条  </w:t>
      </w:r>
      <w:r>
        <w:rPr>
          <w:rFonts w:hint="eastAsia" w:ascii="仿宋_GB2312" w:eastAsia="仿宋_GB2312"/>
          <w:sz w:val="32"/>
          <w:szCs w:val="32"/>
        </w:rPr>
        <w:t xml:space="preserve">有下列情形之一的，应当不予行政处罚： </w:t>
      </w:r>
    </w:p>
    <w:p w14:paraId="15E3E367">
      <w:pPr>
        <w:spacing w:line="578" w:lineRule="exact"/>
        <w:ind w:firstLine="640" w:firstLineChars="200"/>
        <w:rPr>
          <w:rFonts w:ascii="仿宋_GB2312" w:eastAsia="仿宋_GB2312"/>
          <w:sz w:val="32"/>
          <w:szCs w:val="32"/>
        </w:rPr>
      </w:pPr>
      <w:r>
        <w:rPr>
          <w:rFonts w:hint="eastAsia" w:ascii="仿宋_GB2312" w:eastAsia="仿宋_GB2312"/>
          <w:sz w:val="32"/>
          <w:szCs w:val="32"/>
        </w:rPr>
        <w:t xml:space="preserve">（一）违法行为轻微并及时改正，没有造成危害后果的； </w:t>
      </w:r>
    </w:p>
    <w:p w14:paraId="777DCC3D">
      <w:pPr>
        <w:spacing w:line="578" w:lineRule="exact"/>
        <w:ind w:firstLine="640" w:firstLineChars="200"/>
        <w:rPr>
          <w:rFonts w:ascii="仿宋_GB2312" w:eastAsia="仿宋_GB2312"/>
          <w:sz w:val="32"/>
          <w:szCs w:val="32"/>
        </w:rPr>
      </w:pPr>
      <w:r>
        <w:rPr>
          <w:rFonts w:hint="eastAsia" w:ascii="仿宋_GB2312" w:eastAsia="仿宋_GB2312"/>
          <w:sz w:val="32"/>
          <w:szCs w:val="32"/>
        </w:rPr>
        <w:t>（二）除法律另有规定外，违法行为在二年内未被发现的；</w:t>
      </w:r>
    </w:p>
    <w:p w14:paraId="74B75E4D">
      <w:pPr>
        <w:spacing w:line="578" w:lineRule="exact"/>
        <w:ind w:firstLine="640" w:firstLineChars="200"/>
        <w:rPr>
          <w:rFonts w:ascii="仿宋_GB2312" w:eastAsia="仿宋_GB2312"/>
          <w:sz w:val="32"/>
          <w:szCs w:val="32"/>
        </w:rPr>
      </w:pPr>
      <w:r>
        <w:rPr>
          <w:rFonts w:hint="eastAsia" w:ascii="仿宋_GB2312" w:eastAsia="仿宋_GB2312"/>
          <w:sz w:val="32"/>
          <w:szCs w:val="32"/>
        </w:rPr>
        <w:t>（三）不满十四周岁的未成年人有违法行为的；</w:t>
      </w:r>
    </w:p>
    <w:p w14:paraId="21A03DD7">
      <w:pPr>
        <w:spacing w:line="578" w:lineRule="exact"/>
        <w:ind w:firstLine="640" w:firstLineChars="200"/>
        <w:rPr>
          <w:rFonts w:ascii="仿宋_GB2312" w:eastAsia="仿宋_GB2312"/>
          <w:sz w:val="32"/>
          <w:szCs w:val="32"/>
        </w:rPr>
      </w:pPr>
      <w:r>
        <w:rPr>
          <w:rFonts w:hint="eastAsia" w:ascii="仿宋_GB2312" w:eastAsia="仿宋_GB2312"/>
          <w:sz w:val="32"/>
          <w:szCs w:val="32"/>
        </w:rPr>
        <w:t>（四）精神病人、智力残疾人在不能辨认或者不能控制自己行为时有违法行为的；</w:t>
      </w:r>
    </w:p>
    <w:p w14:paraId="62A1E4E8">
      <w:pPr>
        <w:spacing w:line="578" w:lineRule="exact"/>
        <w:ind w:firstLine="640" w:firstLineChars="200"/>
        <w:rPr>
          <w:rFonts w:ascii="仿宋_GB2312" w:eastAsia="仿宋_GB2312"/>
          <w:sz w:val="32"/>
          <w:szCs w:val="32"/>
        </w:rPr>
      </w:pPr>
      <w:r>
        <w:rPr>
          <w:rFonts w:hint="eastAsia" w:ascii="仿宋_GB2312" w:eastAsia="仿宋_GB2312"/>
          <w:sz w:val="32"/>
          <w:szCs w:val="32"/>
        </w:rPr>
        <w:t>（五）除法律、行政法规另有规定外，当事人有证据足以证明没有主观过错的；</w:t>
      </w:r>
    </w:p>
    <w:p w14:paraId="2E5B1BAD">
      <w:pPr>
        <w:spacing w:line="578" w:lineRule="exact"/>
        <w:ind w:firstLine="640" w:firstLineChars="200"/>
        <w:rPr>
          <w:rFonts w:ascii="仿宋_GB2312" w:eastAsia="仿宋_GB2312"/>
          <w:sz w:val="32"/>
          <w:szCs w:val="32"/>
        </w:rPr>
      </w:pPr>
      <w:r>
        <w:rPr>
          <w:rFonts w:hint="eastAsia" w:ascii="仿宋_GB2312" w:eastAsia="仿宋_GB2312"/>
          <w:sz w:val="32"/>
          <w:szCs w:val="32"/>
        </w:rPr>
        <w:t>（六）其他依法应当不予行政处罚的。</w:t>
      </w:r>
    </w:p>
    <w:p w14:paraId="4A31E39B">
      <w:pPr>
        <w:spacing w:line="578" w:lineRule="exact"/>
        <w:ind w:firstLine="640" w:firstLineChars="200"/>
        <w:rPr>
          <w:rFonts w:ascii="仿宋_GB2312" w:eastAsia="仿宋_GB2312"/>
          <w:sz w:val="32"/>
          <w:szCs w:val="32"/>
        </w:rPr>
      </w:pPr>
      <w:r>
        <w:rPr>
          <w:rFonts w:hint="eastAsia" w:ascii="仿宋_GB2312" w:eastAsia="仿宋_GB2312"/>
          <w:sz w:val="32"/>
          <w:szCs w:val="32"/>
        </w:rPr>
        <w:t>初次违法且危害后果轻微并及时改正的，可以不予行政处罚。</w:t>
      </w:r>
    </w:p>
    <w:p w14:paraId="2CC14285">
      <w:pPr>
        <w:spacing w:line="578" w:lineRule="exact"/>
        <w:ind w:firstLine="640" w:firstLineChars="200"/>
        <w:rPr>
          <w:rFonts w:ascii="仿宋_GB2312" w:eastAsia="仿宋_GB2312"/>
          <w:sz w:val="32"/>
          <w:szCs w:val="32"/>
        </w:rPr>
      </w:pPr>
      <w:r>
        <w:rPr>
          <w:rFonts w:hint="eastAsia" w:ascii="仿宋_GB2312" w:eastAsia="仿宋_GB2312"/>
          <w:sz w:val="32"/>
          <w:szCs w:val="32"/>
        </w:rPr>
        <w:t>对当事人的违法行为依法不予行政处罚的，林业和草原行政主管部门应当对当事人进行教育。</w:t>
      </w:r>
    </w:p>
    <w:p w14:paraId="0E80627B">
      <w:pPr>
        <w:spacing w:line="578" w:lineRule="exact"/>
        <w:ind w:firstLine="640" w:firstLineChars="200"/>
        <w:rPr>
          <w:rFonts w:ascii="仿宋_GB2312" w:eastAsia="仿宋_GB2312"/>
          <w:sz w:val="32"/>
          <w:szCs w:val="32"/>
        </w:rPr>
      </w:pPr>
      <w:r>
        <w:rPr>
          <w:rFonts w:hint="eastAsia" w:ascii="黑体" w:hAnsi="黑体" w:eastAsia="黑体"/>
          <w:sz w:val="32"/>
          <w:szCs w:val="32"/>
        </w:rPr>
        <w:t>第十五条</w:t>
      </w:r>
      <w:r>
        <w:rPr>
          <w:rFonts w:hint="eastAsia" w:ascii="仿宋_GB2312" w:eastAsia="仿宋_GB2312"/>
          <w:sz w:val="32"/>
          <w:szCs w:val="32"/>
        </w:rPr>
        <w:t xml:space="preserve">  法律、法规、规章规定可以单处也可以并处的，违法行为的事实、性质、情节和社会危害程度较轻的，适用单处；违法行为的事实、性质、情节和社会危害程度较重的，适用并处。</w:t>
      </w:r>
    </w:p>
    <w:p w14:paraId="35BD92CE">
      <w:pPr>
        <w:spacing w:line="578" w:lineRule="exact"/>
        <w:ind w:firstLine="640" w:firstLineChars="200"/>
        <w:rPr>
          <w:rFonts w:ascii="仿宋_GB2312" w:eastAsia="仿宋_GB2312"/>
          <w:sz w:val="32"/>
          <w:szCs w:val="32"/>
        </w:rPr>
      </w:pPr>
      <w:r>
        <w:rPr>
          <w:rFonts w:hint="eastAsia" w:ascii="黑体" w:hAnsi="黑体" w:eastAsia="黑体"/>
          <w:sz w:val="32"/>
          <w:szCs w:val="32"/>
        </w:rPr>
        <w:t xml:space="preserve">第十六条  </w:t>
      </w:r>
      <w:r>
        <w:rPr>
          <w:rFonts w:hint="eastAsia" w:ascii="仿宋_GB2312" w:eastAsia="仿宋_GB2312"/>
          <w:sz w:val="32"/>
          <w:szCs w:val="32"/>
        </w:rPr>
        <w:t>法律、法规、规章规定的处罚种类有选择的，首先选择处罚种类，再明确罚款的幅（额）度。</w:t>
      </w:r>
    </w:p>
    <w:p w14:paraId="3DF97CAE">
      <w:pPr>
        <w:spacing w:line="578" w:lineRule="exact"/>
        <w:ind w:firstLine="640" w:firstLineChars="200"/>
        <w:rPr>
          <w:rFonts w:ascii="仿宋_GB2312" w:eastAsia="仿宋_GB2312"/>
          <w:sz w:val="32"/>
          <w:szCs w:val="32"/>
        </w:rPr>
      </w:pPr>
      <w:r>
        <w:rPr>
          <w:rFonts w:hint="eastAsia" w:ascii="黑体" w:hAnsi="黑体" w:eastAsia="黑体"/>
          <w:sz w:val="32"/>
          <w:szCs w:val="32"/>
        </w:rPr>
        <w:t>第十七条</w:t>
      </w:r>
      <w:r>
        <w:rPr>
          <w:rFonts w:hint="eastAsia" w:ascii="仿宋_GB2312" w:eastAsia="仿宋_GB2312"/>
          <w:sz w:val="32"/>
          <w:szCs w:val="32"/>
        </w:rPr>
        <w:t>　林业和草原行政主管部门实施行政处罚时，应当责令当事人改正或者限期改正违法行为。</w:t>
      </w:r>
    </w:p>
    <w:p w14:paraId="4041E9F4">
      <w:pPr>
        <w:spacing w:line="578" w:lineRule="exact"/>
        <w:ind w:firstLine="640" w:firstLineChars="200"/>
        <w:rPr>
          <w:rFonts w:ascii="仿宋_GB2312" w:eastAsia="仿宋_GB2312"/>
          <w:sz w:val="32"/>
          <w:szCs w:val="32"/>
        </w:rPr>
      </w:pPr>
      <w:r>
        <w:rPr>
          <w:rFonts w:hint="eastAsia" w:ascii="仿宋_GB2312" w:eastAsia="仿宋_GB2312"/>
          <w:sz w:val="32"/>
          <w:szCs w:val="32"/>
        </w:rPr>
        <w:t>当事人有违法所得，除依法应当退赔的外，应当予以没收。违法所得是指实施违法行为所取得的款项。法律、行政法规、部门规章对违法所得的计算另有规定的，从其规定。</w:t>
      </w:r>
    </w:p>
    <w:p w14:paraId="204F7300">
      <w:pPr>
        <w:spacing w:line="578" w:lineRule="exact"/>
        <w:ind w:firstLine="640" w:firstLineChars="200"/>
        <w:rPr>
          <w:rFonts w:ascii="仿宋_GB2312" w:eastAsia="仿宋_GB2312"/>
          <w:sz w:val="32"/>
          <w:szCs w:val="32"/>
        </w:rPr>
      </w:pPr>
      <w:r>
        <w:rPr>
          <w:rFonts w:hint="eastAsia" w:ascii="黑体" w:hAnsi="黑体" w:eastAsia="黑体"/>
          <w:sz w:val="32"/>
          <w:szCs w:val="32"/>
        </w:rPr>
        <w:t>第十八条</w:t>
      </w:r>
      <w:r>
        <w:rPr>
          <w:rFonts w:hint="eastAsia" w:ascii="仿宋_GB2312" w:eastAsia="仿宋_GB2312"/>
          <w:sz w:val="32"/>
          <w:szCs w:val="32"/>
        </w:rPr>
        <w:t>　林业和草原行政主管部门实施行政处罚，适用违法行为发生时的法律、法规、规章的规定。但是，作出行政处罚决定时，法律、法规、规章已被修改或者废止，且新的规定处罚较轻或者不认为是违法的，适用新的规定。</w:t>
      </w:r>
    </w:p>
    <w:p w14:paraId="15944DAE">
      <w:pPr>
        <w:spacing w:line="578" w:lineRule="exact"/>
        <w:ind w:firstLine="640" w:firstLineChars="200"/>
        <w:rPr>
          <w:rFonts w:ascii="仿宋_GB2312" w:hAnsi="黑体" w:eastAsia="仿宋_GB2312"/>
          <w:sz w:val="32"/>
          <w:szCs w:val="32"/>
        </w:rPr>
      </w:pPr>
      <w:r>
        <w:rPr>
          <w:rFonts w:hint="eastAsia" w:ascii="黑体" w:hAnsi="黑体" w:eastAsia="黑体"/>
          <w:sz w:val="32"/>
          <w:szCs w:val="32"/>
        </w:rPr>
        <w:t xml:space="preserve">第十九条  </w:t>
      </w:r>
      <w:r>
        <w:rPr>
          <w:rFonts w:hint="eastAsia" w:ascii="仿宋_GB2312" w:hAnsi="黑体" w:eastAsia="仿宋_GB2312"/>
          <w:sz w:val="32"/>
          <w:szCs w:val="32"/>
        </w:rPr>
        <w:t>本基准仅对法定行政处罚依据中有裁量幅度或者选择性条件的内容予以细化、量化，其他行政处罚内容按照相关法定处罚规定执行。</w:t>
      </w:r>
    </w:p>
    <w:p w14:paraId="47365260">
      <w:pPr>
        <w:spacing w:line="578" w:lineRule="exact"/>
        <w:ind w:firstLine="640" w:firstLineChars="200"/>
        <w:rPr>
          <w:rFonts w:ascii="仿宋_GB2312" w:eastAsia="仿宋_GB2312"/>
          <w:sz w:val="32"/>
          <w:szCs w:val="32"/>
        </w:rPr>
      </w:pPr>
      <w:r>
        <w:rPr>
          <w:rFonts w:hint="eastAsia" w:ascii="黑体" w:hAnsi="黑体" w:eastAsia="黑体"/>
          <w:sz w:val="32"/>
          <w:szCs w:val="32"/>
        </w:rPr>
        <w:t xml:space="preserve">第二十条  </w:t>
      </w:r>
      <w:r>
        <w:rPr>
          <w:rFonts w:hint="eastAsia" w:ascii="仿宋_GB2312" w:eastAsia="仿宋_GB2312"/>
          <w:sz w:val="32"/>
          <w:szCs w:val="32"/>
        </w:rPr>
        <w:t>林业和草原行政主管部门行使裁量权，在相关林业和草原执法文书中，对作出的处罚种类、处罚幅度尤其是对作出从重、从轻、减轻或者不予处罚时应当说明理由，并在卷宗中附相关证明材料。</w:t>
      </w:r>
    </w:p>
    <w:p w14:paraId="0D8B6103">
      <w:pPr>
        <w:spacing w:line="578" w:lineRule="exact"/>
        <w:ind w:firstLine="640" w:firstLineChars="200"/>
        <w:rPr>
          <w:rFonts w:ascii="仿宋_GB2312" w:eastAsia="仿宋_GB2312"/>
          <w:sz w:val="32"/>
          <w:szCs w:val="32"/>
        </w:rPr>
      </w:pPr>
      <w:r>
        <w:rPr>
          <w:rFonts w:hint="eastAsia" w:ascii="黑体" w:hAnsi="黑体" w:eastAsia="黑体"/>
          <w:sz w:val="32"/>
          <w:szCs w:val="32"/>
        </w:rPr>
        <w:t>第二十一条</w:t>
      </w:r>
      <w:r>
        <w:rPr>
          <w:rFonts w:hint="eastAsia" w:ascii="仿宋_GB2312" w:eastAsia="仿宋_GB2312"/>
          <w:sz w:val="32"/>
          <w:szCs w:val="32"/>
        </w:rPr>
        <w:t xml:space="preserve">  违法行为涉及的面积、蓄积、数量等情形达到或者超过相关刑事立案标准，依法经司法机关认定不需要追究刑事责任或者免于刑事处罚，需要林业和草原行政主管部门依法给予行政处罚的，按照该违法行为行政处罚法定最高幅度或者最高标准适用，法律、法规、规章对适用情形另有规定的，依照其规定。</w:t>
      </w:r>
    </w:p>
    <w:p w14:paraId="2098405A">
      <w:pPr>
        <w:spacing w:line="578" w:lineRule="exact"/>
        <w:ind w:firstLine="640" w:firstLineChars="200"/>
        <w:rPr>
          <w:rFonts w:ascii="仿宋_GB2312" w:eastAsia="仿宋_GB2312"/>
          <w:sz w:val="32"/>
          <w:szCs w:val="32"/>
        </w:rPr>
      </w:pPr>
      <w:r>
        <w:rPr>
          <w:rFonts w:hint="eastAsia" w:ascii="黑体" w:hAnsi="黑体" w:eastAsia="黑体"/>
          <w:sz w:val="32"/>
          <w:szCs w:val="32"/>
        </w:rPr>
        <w:t>第二十二条</w:t>
      </w:r>
      <w:r>
        <w:rPr>
          <w:rFonts w:hint="eastAsia" w:ascii="仿宋_GB2312" w:eastAsia="仿宋_GB2312"/>
          <w:sz w:val="32"/>
          <w:szCs w:val="32"/>
        </w:rPr>
        <w:t xml:space="preserve">  本基准分则中未列明的其他林业和草原行政处罚事项，其裁量方法应当按照本基准总则规定的原则执行。 </w:t>
      </w:r>
    </w:p>
    <w:p w14:paraId="09916D1B">
      <w:pPr>
        <w:spacing w:line="578" w:lineRule="exact"/>
        <w:ind w:firstLine="640" w:firstLineChars="200"/>
        <w:rPr>
          <w:rFonts w:ascii="仿宋_GB2312" w:eastAsia="仿宋_GB2312"/>
          <w:sz w:val="32"/>
          <w:szCs w:val="32"/>
        </w:rPr>
      </w:pPr>
      <w:r>
        <w:rPr>
          <w:rFonts w:hint="eastAsia" w:ascii="黑体" w:hAnsi="黑体" w:eastAsia="黑体"/>
          <w:sz w:val="32"/>
          <w:szCs w:val="32"/>
        </w:rPr>
        <w:t>第二十三条</w:t>
      </w:r>
      <w:r>
        <w:rPr>
          <w:rFonts w:hint="eastAsia" w:ascii="仿宋_GB2312" w:eastAsia="仿宋_GB2312"/>
          <w:sz w:val="32"/>
          <w:szCs w:val="32"/>
        </w:rPr>
        <w:t xml:space="preserve">  对《中华人民共和国森林法》等法律和现行行政法规、地方性法规中有关行政处罚规定存在不一致情形的，暂不作裁量权基准规定。待有关行政法规、地方性法规根据上位法修改完善后再作补充规定。但林业和草原行政主管部门在实施行政处罚时应当在法定处罚幅度内合理确定裁量幅度，不得畸轻畸重。</w:t>
      </w:r>
    </w:p>
    <w:p w14:paraId="6A1222C9">
      <w:pPr>
        <w:spacing w:line="578" w:lineRule="exact"/>
        <w:ind w:firstLine="640" w:firstLineChars="200"/>
        <w:rPr>
          <w:rFonts w:ascii="仿宋_GB2312" w:eastAsia="仿宋_GB2312"/>
          <w:sz w:val="32"/>
          <w:szCs w:val="32"/>
        </w:rPr>
      </w:pPr>
      <w:r>
        <w:rPr>
          <w:rFonts w:hint="eastAsia" w:ascii="仿宋_GB2312" w:eastAsia="仿宋_GB2312"/>
          <w:sz w:val="32"/>
          <w:szCs w:val="32"/>
        </w:rPr>
        <w:t>本基准分则中有关行政法规、地方性法规和规章的上位法修改后，相关行政处罚规定出现不一致情形的，以新修改的上位法为准，本基准分则相关规定自行失效。</w:t>
      </w:r>
    </w:p>
    <w:p w14:paraId="5045CC21">
      <w:pPr>
        <w:spacing w:line="578" w:lineRule="exact"/>
        <w:ind w:firstLine="640" w:firstLineChars="200"/>
        <w:rPr>
          <w:rFonts w:ascii="仿宋_GB2312" w:eastAsia="仿宋_GB2312"/>
          <w:sz w:val="32"/>
          <w:szCs w:val="32"/>
        </w:rPr>
      </w:pPr>
      <w:r>
        <w:rPr>
          <w:rFonts w:hint="eastAsia" w:ascii="黑体" w:hAnsi="黑体" w:eastAsia="黑体"/>
          <w:sz w:val="32"/>
          <w:szCs w:val="32"/>
        </w:rPr>
        <w:t xml:space="preserve">第二十四条  </w:t>
      </w:r>
      <w:r>
        <w:rPr>
          <w:rFonts w:hint="eastAsia" w:ascii="仿宋_GB2312" w:eastAsia="仿宋_GB2312"/>
          <w:sz w:val="32"/>
          <w:szCs w:val="32"/>
        </w:rPr>
        <w:t>本基准分则中“以下”包含本数，“以上”不包含本数。但最低档的“以上”包含本数。</w:t>
      </w:r>
    </w:p>
    <w:p w14:paraId="4DCA40DC">
      <w:pPr>
        <w:spacing w:line="578" w:lineRule="exact"/>
        <w:ind w:firstLine="640" w:firstLineChars="200"/>
        <w:rPr>
          <w:rFonts w:ascii="仿宋_GB2312" w:eastAsia="仿宋_GB2312"/>
          <w:sz w:val="32"/>
          <w:szCs w:val="32"/>
        </w:rPr>
      </w:pPr>
      <w:r>
        <w:rPr>
          <w:rFonts w:hint="eastAsia" w:ascii="黑体" w:hAnsi="黑体" w:eastAsia="黑体"/>
          <w:sz w:val="32"/>
          <w:szCs w:val="32"/>
        </w:rPr>
        <w:t xml:space="preserve">第二十五条  </w:t>
      </w:r>
      <w:r>
        <w:rPr>
          <w:rFonts w:hint="eastAsia" w:ascii="仿宋_GB2312" w:eastAsia="仿宋_GB2312"/>
          <w:sz w:val="32"/>
          <w:szCs w:val="32"/>
        </w:rPr>
        <w:t>本基准自印发之日起施行。我省过去有关林业和草原行政处罚裁量权规定与本基准不一致的，以本基准为准。原黑龙江省林业厅办公室2015年7月20日印发的《黑龙江省林业厅办公室关于印发〈黑龙江省林业行政处罚自由裁量权细化标准〉的通知》（黑林办发〔2015〕80号）同时废止。</w:t>
      </w:r>
    </w:p>
    <w:p w14:paraId="3A1EE7AC">
      <w:pPr>
        <w:spacing w:line="578" w:lineRule="exact"/>
        <w:ind w:firstLine="640" w:firstLineChars="200"/>
        <w:rPr>
          <w:rFonts w:ascii="仿宋_GB2312" w:eastAsia="仿宋_GB2312"/>
          <w:sz w:val="32"/>
          <w:szCs w:val="32"/>
        </w:rPr>
      </w:pPr>
    </w:p>
    <w:p w14:paraId="6A9CB8CC">
      <w:pPr>
        <w:snapToGrid w:val="0"/>
        <w:spacing w:line="578" w:lineRule="exact"/>
        <w:jc w:val="center"/>
        <w:rPr>
          <w:rFonts w:ascii="仿宋_GB2312" w:eastAsia="仿宋_GB2312"/>
          <w:sz w:val="32"/>
          <w:szCs w:val="32"/>
        </w:rPr>
      </w:pPr>
    </w:p>
    <w:p w14:paraId="470B7FF6">
      <w:pPr>
        <w:snapToGrid w:val="0"/>
        <w:spacing w:line="578" w:lineRule="exact"/>
        <w:rPr>
          <w:rFonts w:ascii="仿宋_GB2312" w:eastAsia="仿宋_GB2312"/>
          <w:sz w:val="32"/>
          <w:szCs w:val="32"/>
        </w:rPr>
      </w:pPr>
    </w:p>
    <w:p w14:paraId="4618FB18">
      <w:pPr>
        <w:snapToGrid w:val="0"/>
        <w:spacing w:line="578" w:lineRule="exact"/>
        <w:rPr>
          <w:rFonts w:ascii="仿宋_GB2312" w:eastAsia="仿宋_GB2312"/>
          <w:sz w:val="32"/>
          <w:szCs w:val="32"/>
        </w:rPr>
      </w:pPr>
    </w:p>
    <w:p w14:paraId="336AC0A6">
      <w:pPr>
        <w:snapToGrid w:val="0"/>
        <w:spacing w:line="578" w:lineRule="exact"/>
        <w:rPr>
          <w:rFonts w:ascii="仿宋_GB2312" w:eastAsia="仿宋_GB2312"/>
          <w:sz w:val="32"/>
          <w:szCs w:val="32"/>
        </w:rPr>
      </w:pPr>
    </w:p>
    <w:p w14:paraId="5E7D2971">
      <w:pPr>
        <w:snapToGrid w:val="0"/>
        <w:spacing w:line="578" w:lineRule="exact"/>
        <w:rPr>
          <w:rFonts w:ascii="仿宋_GB2312" w:eastAsia="仿宋_GB2312"/>
          <w:sz w:val="32"/>
          <w:szCs w:val="32"/>
        </w:rPr>
      </w:pPr>
    </w:p>
    <w:p w14:paraId="0FBB2ABC">
      <w:pPr>
        <w:snapToGrid w:val="0"/>
        <w:spacing w:line="578" w:lineRule="exact"/>
        <w:rPr>
          <w:rFonts w:ascii="仿宋_GB2312" w:eastAsia="仿宋_GB2312"/>
          <w:sz w:val="32"/>
          <w:szCs w:val="32"/>
        </w:rPr>
      </w:pPr>
    </w:p>
    <w:p w14:paraId="524FB32C">
      <w:pPr>
        <w:snapToGrid w:val="0"/>
        <w:spacing w:line="578" w:lineRule="exact"/>
        <w:rPr>
          <w:rFonts w:ascii="仿宋_GB2312" w:eastAsia="仿宋_GB2312"/>
          <w:sz w:val="32"/>
          <w:szCs w:val="32"/>
        </w:rPr>
      </w:pPr>
    </w:p>
    <w:p w14:paraId="6F0BB644">
      <w:pPr>
        <w:snapToGrid w:val="0"/>
        <w:spacing w:line="578" w:lineRule="exact"/>
        <w:rPr>
          <w:rFonts w:ascii="仿宋_GB2312" w:eastAsia="仿宋_GB2312"/>
          <w:sz w:val="32"/>
          <w:szCs w:val="32"/>
        </w:rPr>
      </w:pPr>
    </w:p>
    <w:p w14:paraId="2083FFD2">
      <w:pPr>
        <w:snapToGrid w:val="0"/>
        <w:spacing w:line="578" w:lineRule="exact"/>
        <w:rPr>
          <w:rFonts w:ascii="仿宋_GB2312" w:eastAsia="仿宋_GB2312"/>
          <w:sz w:val="32"/>
          <w:szCs w:val="32"/>
        </w:rPr>
      </w:pPr>
    </w:p>
    <w:p w14:paraId="686A73AD">
      <w:pPr>
        <w:snapToGrid w:val="0"/>
        <w:spacing w:line="578" w:lineRule="exact"/>
        <w:rPr>
          <w:rFonts w:ascii="仿宋_GB2312" w:eastAsia="仿宋_GB2312"/>
          <w:sz w:val="32"/>
          <w:szCs w:val="32"/>
        </w:rPr>
      </w:pPr>
    </w:p>
    <w:p w14:paraId="196760A7">
      <w:pPr>
        <w:snapToGrid w:val="0"/>
        <w:spacing w:line="578" w:lineRule="exact"/>
        <w:rPr>
          <w:rFonts w:ascii="仿宋_GB2312" w:eastAsia="仿宋_GB2312"/>
          <w:sz w:val="32"/>
          <w:szCs w:val="32"/>
        </w:rPr>
      </w:pPr>
    </w:p>
    <w:p w14:paraId="31EE9FCE">
      <w:pPr>
        <w:snapToGrid w:val="0"/>
        <w:spacing w:line="578" w:lineRule="exact"/>
        <w:rPr>
          <w:rFonts w:ascii="仿宋_GB2312" w:eastAsia="仿宋_GB2312"/>
          <w:sz w:val="32"/>
          <w:szCs w:val="32"/>
        </w:rPr>
      </w:pPr>
    </w:p>
    <w:sectPr>
      <w:footerReference r:id="rId3" w:type="default"/>
      <w:footerReference r:id="rId4" w:type="even"/>
      <w:pgSz w:w="11906" w:h="16838"/>
      <w:pgMar w:top="2098" w:right="1474" w:bottom="1985" w:left="1588" w:header="851" w:footer="1644"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9670287-036E-48E7-97E0-5F323D07A62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CE99345E-7A14-4827-B416-7B2F821FCCE8}"/>
  </w:font>
  <w:font w:name="楷体_GB2312">
    <w:panose1 w:val="02010609030101010101"/>
    <w:charset w:val="86"/>
    <w:family w:val="modern"/>
    <w:pitch w:val="default"/>
    <w:sig w:usb0="00000001" w:usb1="080E0000" w:usb2="00000000" w:usb3="00000000" w:csb0="00040000" w:csb1="00000000"/>
    <w:embedRegular r:id="rId3" w:fontKey="{0CEFB9F2-8DA5-4D80-AA72-1748967007E1}"/>
  </w:font>
  <w:font w:name="仿宋_GB2312">
    <w:panose1 w:val="02010609030101010101"/>
    <w:charset w:val="86"/>
    <w:family w:val="modern"/>
    <w:pitch w:val="default"/>
    <w:sig w:usb0="00000001" w:usb1="080E0000" w:usb2="00000000" w:usb3="00000000" w:csb0="00040000" w:csb1="00000000"/>
    <w:embedRegular r:id="rId4" w:fontKey="{BD1B11C5-F9A6-46FD-B258-59E9998E6E3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69D82">
    <w:pPr>
      <w:pStyle w:val="4"/>
      <w:framePr w:wrap="around" w:vAnchor="text" w:hAnchor="margin" w:xAlign="outside" w:y="1"/>
      <w:rPr>
        <w:rStyle w:val="8"/>
        <w:sz w:val="28"/>
        <w:szCs w:val="28"/>
      </w:rPr>
    </w:pPr>
    <w:r>
      <w:rPr>
        <w:rStyle w:val="8"/>
        <w:rFonts w:hint="eastAsia"/>
        <w:sz w:val="28"/>
        <w:szCs w:val="28"/>
      </w:rPr>
      <w:t xml:space="preserve">— </w:t>
    </w:r>
    <w:r>
      <w:rPr>
        <w:rStyle w:val="8"/>
        <w:sz w:val="28"/>
        <w:szCs w:val="28"/>
      </w:rPr>
      <w:fldChar w:fldCharType="begin"/>
    </w:r>
    <w:r>
      <w:rPr>
        <w:rStyle w:val="8"/>
        <w:sz w:val="28"/>
        <w:szCs w:val="28"/>
      </w:rPr>
      <w:instrText xml:space="preserve">PAGE  </w:instrText>
    </w:r>
    <w:r>
      <w:rPr>
        <w:rStyle w:val="8"/>
        <w:sz w:val="28"/>
        <w:szCs w:val="28"/>
      </w:rPr>
      <w:fldChar w:fldCharType="separate"/>
    </w:r>
    <w:r>
      <w:rPr>
        <w:rStyle w:val="8"/>
        <w:sz w:val="28"/>
        <w:szCs w:val="28"/>
      </w:rPr>
      <w:t>1</w:t>
    </w:r>
    <w:r>
      <w:rPr>
        <w:rStyle w:val="8"/>
        <w:sz w:val="28"/>
        <w:szCs w:val="28"/>
      </w:rPr>
      <w:fldChar w:fldCharType="end"/>
    </w:r>
    <w:r>
      <w:rPr>
        <w:rStyle w:val="8"/>
        <w:rFonts w:hint="eastAsia"/>
        <w:sz w:val="28"/>
        <w:szCs w:val="28"/>
      </w:rPr>
      <w:t xml:space="preserve"> —</w:t>
    </w:r>
    <w:r>
      <w:rPr>
        <w:rStyle w:val="8"/>
        <w:rFonts w:hint="eastAsia"/>
        <w:color w:val="FFFFFF"/>
        <w:sz w:val="28"/>
        <w:szCs w:val="28"/>
      </w:rPr>
      <w:t>—</w:t>
    </w:r>
  </w:p>
  <w:p w14:paraId="42C85287">
    <w:pPr>
      <w:pStyle w:val="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7CEC7">
    <w:pPr>
      <w:pStyle w:val="4"/>
      <w:framePr w:wrap="around" w:vAnchor="text" w:hAnchor="margin" w:xAlign="outside" w:y="1"/>
      <w:rPr>
        <w:rStyle w:val="8"/>
        <w:sz w:val="28"/>
        <w:szCs w:val="28"/>
      </w:rPr>
    </w:pPr>
    <w:r>
      <w:rPr>
        <w:rStyle w:val="8"/>
        <w:rFonts w:hint="eastAsia"/>
        <w:color w:val="FFFFFF"/>
        <w:sz w:val="28"/>
        <w:szCs w:val="28"/>
      </w:rPr>
      <w:t>—</w:t>
    </w:r>
    <w:r>
      <w:rPr>
        <w:rStyle w:val="8"/>
        <w:rFonts w:hint="eastAsia"/>
        <w:sz w:val="28"/>
        <w:szCs w:val="28"/>
      </w:rPr>
      <w:t xml:space="preserve">— </w:t>
    </w:r>
    <w:r>
      <w:rPr>
        <w:rStyle w:val="8"/>
        <w:sz w:val="28"/>
        <w:szCs w:val="28"/>
      </w:rPr>
      <w:fldChar w:fldCharType="begin"/>
    </w:r>
    <w:r>
      <w:rPr>
        <w:rStyle w:val="8"/>
        <w:sz w:val="28"/>
        <w:szCs w:val="28"/>
      </w:rPr>
      <w:instrText xml:space="preserve">PAGE  </w:instrText>
    </w:r>
    <w:r>
      <w:rPr>
        <w:rStyle w:val="8"/>
        <w:sz w:val="28"/>
        <w:szCs w:val="28"/>
      </w:rPr>
      <w:fldChar w:fldCharType="separate"/>
    </w:r>
    <w:r>
      <w:rPr>
        <w:rStyle w:val="8"/>
        <w:sz w:val="28"/>
        <w:szCs w:val="28"/>
      </w:rPr>
      <w:t>2</w:t>
    </w:r>
    <w:r>
      <w:rPr>
        <w:rStyle w:val="8"/>
        <w:sz w:val="28"/>
        <w:szCs w:val="28"/>
      </w:rPr>
      <w:fldChar w:fldCharType="end"/>
    </w:r>
    <w:r>
      <w:rPr>
        <w:rStyle w:val="8"/>
        <w:rFonts w:hint="eastAsia"/>
        <w:sz w:val="28"/>
        <w:szCs w:val="28"/>
      </w:rPr>
      <w:t xml:space="preserve"> —</w:t>
    </w:r>
  </w:p>
  <w:p w14:paraId="77D71187">
    <w:pPr>
      <w:pStyle w:val="4"/>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trackedChanges" w:enforcement="1" w:cryptProviderType="rsaFull" w:cryptAlgorithmClass="hash" w:cryptAlgorithmType="typeAny" w:cryptAlgorithmSid="4" w:cryptSpinCount="100000" w:hash="A4geJOgbpyo0g825Zq04nLb6htU=" w:salt="MRq/O5LLV4LEaMRQJRLhlQ=="/>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1MDRjODY5NjY3YjRjYzc3MmI3ZTgyNWUwNzFhMjQifQ=="/>
    <w:docVar w:name="DocumentID" w:val="{2B6C8C72-95C9-4778-9A6E-A8C2B37B3DD3}"/>
    <w:docVar w:name="DocumentName" w:val="4444 中的文档"/>
    <w:docVar w:name="KSO_WPS_MARK_KEY" w:val="293d98ce-8b5f-46e3-b74d-f240d2988ff1"/>
  </w:docVars>
  <w:rsids>
    <w:rsidRoot w:val="002F2FDC"/>
    <w:rsid w:val="0001743D"/>
    <w:rsid w:val="00026C92"/>
    <w:rsid w:val="0005652A"/>
    <w:rsid w:val="000B6FD7"/>
    <w:rsid w:val="000E3D0E"/>
    <w:rsid w:val="00161423"/>
    <w:rsid w:val="001C28DA"/>
    <w:rsid w:val="001F123C"/>
    <w:rsid w:val="001F19EF"/>
    <w:rsid w:val="00227B8E"/>
    <w:rsid w:val="002815F2"/>
    <w:rsid w:val="002E56D9"/>
    <w:rsid w:val="002E5760"/>
    <w:rsid w:val="002F2FDC"/>
    <w:rsid w:val="003B4169"/>
    <w:rsid w:val="003D244C"/>
    <w:rsid w:val="003E0C49"/>
    <w:rsid w:val="003E38B7"/>
    <w:rsid w:val="003F5F67"/>
    <w:rsid w:val="00411CF8"/>
    <w:rsid w:val="00414AD1"/>
    <w:rsid w:val="00440864"/>
    <w:rsid w:val="00457C74"/>
    <w:rsid w:val="00472F17"/>
    <w:rsid w:val="00482D3D"/>
    <w:rsid w:val="004D4296"/>
    <w:rsid w:val="004F726F"/>
    <w:rsid w:val="0052519D"/>
    <w:rsid w:val="005448F1"/>
    <w:rsid w:val="00573556"/>
    <w:rsid w:val="00577988"/>
    <w:rsid w:val="00584F99"/>
    <w:rsid w:val="005C1509"/>
    <w:rsid w:val="005C255D"/>
    <w:rsid w:val="005D6B6F"/>
    <w:rsid w:val="00620980"/>
    <w:rsid w:val="00643F43"/>
    <w:rsid w:val="00653643"/>
    <w:rsid w:val="0069441F"/>
    <w:rsid w:val="006D54B9"/>
    <w:rsid w:val="006F12C4"/>
    <w:rsid w:val="007777FE"/>
    <w:rsid w:val="007978D9"/>
    <w:rsid w:val="007D3724"/>
    <w:rsid w:val="0080473E"/>
    <w:rsid w:val="00843D90"/>
    <w:rsid w:val="00877407"/>
    <w:rsid w:val="008C3C98"/>
    <w:rsid w:val="008E2AB4"/>
    <w:rsid w:val="008E7BF8"/>
    <w:rsid w:val="0094441C"/>
    <w:rsid w:val="0095725E"/>
    <w:rsid w:val="009B4C4C"/>
    <w:rsid w:val="00A03528"/>
    <w:rsid w:val="00A9024D"/>
    <w:rsid w:val="00AA7C3C"/>
    <w:rsid w:val="00AB416A"/>
    <w:rsid w:val="00AC07F2"/>
    <w:rsid w:val="00AC42D8"/>
    <w:rsid w:val="00B33A0A"/>
    <w:rsid w:val="00B37460"/>
    <w:rsid w:val="00B73BEA"/>
    <w:rsid w:val="00B83976"/>
    <w:rsid w:val="00B878C6"/>
    <w:rsid w:val="00BA441F"/>
    <w:rsid w:val="00BA773B"/>
    <w:rsid w:val="00BC54D4"/>
    <w:rsid w:val="00BD5670"/>
    <w:rsid w:val="00C10845"/>
    <w:rsid w:val="00C10D17"/>
    <w:rsid w:val="00C925A0"/>
    <w:rsid w:val="00CC7D66"/>
    <w:rsid w:val="00D37AE9"/>
    <w:rsid w:val="00D622E7"/>
    <w:rsid w:val="00D81DA4"/>
    <w:rsid w:val="00DB7D5C"/>
    <w:rsid w:val="00DC0A44"/>
    <w:rsid w:val="00DD24E6"/>
    <w:rsid w:val="00DE1CC8"/>
    <w:rsid w:val="00E301CF"/>
    <w:rsid w:val="00EB5CAE"/>
    <w:rsid w:val="00F01B9C"/>
    <w:rsid w:val="00F308BF"/>
    <w:rsid w:val="00F37A6F"/>
    <w:rsid w:val="00F53751"/>
    <w:rsid w:val="00F95403"/>
    <w:rsid w:val="00FD3A69"/>
    <w:rsid w:val="020C673E"/>
    <w:rsid w:val="1DCA3700"/>
    <w:rsid w:val="273A6765"/>
    <w:rsid w:val="2EE92541"/>
    <w:rsid w:val="32184EE3"/>
    <w:rsid w:val="34342EAB"/>
    <w:rsid w:val="509255A6"/>
    <w:rsid w:val="65FB72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semiHidden/>
    <w:unhideWhenUsed/>
    <w:qFormat/>
    <w:uiPriority w:val="0"/>
    <w:pPr>
      <w:ind w:left="100" w:leftChars="2500"/>
    </w:pPr>
  </w:style>
  <w:style w:type="paragraph" w:styleId="3">
    <w:name w:val="Balloon Text"/>
    <w:basedOn w:val="1"/>
    <w:link w:val="9"/>
    <w:qFormat/>
    <w:uiPriority w:val="0"/>
    <w:rPr>
      <w:sz w:val="18"/>
      <w:szCs w:val="18"/>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qFormat/>
    <w:uiPriority w:val="0"/>
  </w:style>
  <w:style w:type="character" w:customStyle="1" w:styleId="9">
    <w:name w:val="批注框文本 Char"/>
    <w:link w:val="3"/>
    <w:qFormat/>
    <w:uiPriority w:val="0"/>
    <w:rPr>
      <w:kern w:val="2"/>
      <w:sz w:val="18"/>
      <w:szCs w:val="18"/>
    </w:rPr>
  </w:style>
  <w:style w:type="character" w:customStyle="1" w:styleId="10">
    <w:name w:val="页脚 Char"/>
    <w:link w:val="4"/>
    <w:uiPriority w:val="0"/>
    <w:rPr>
      <w:kern w:val="2"/>
      <w:sz w:val="18"/>
      <w:szCs w:val="18"/>
    </w:rPr>
  </w:style>
  <w:style w:type="character" w:customStyle="1" w:styleId="11">
    <w:name w:val="页眉 Char"/>
    <w:link w:val="5"/>
    <w:qFormat/>
    <w:uiPriority w:val="0"/>
    <w:rPr>
      <w:kern w:val="2"/>
      <w:sz w:val="18"/>
      <w:szCs w:val="18"/>
    </w:rPr>
  </w:style>
  <w:style w:type="character" w:customStyle="1" w:styleId="12">
    <w:name w:val="日期 Char"/>
    <w:link w:val="2"/>
    <w:semiHidden/>
    <w:uiPriority w:val="0"/>
    <w:rPr>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WWW.YlmF.CoM</Company>
  <Pages>6</Pages>
  <Words>2527</Words>
  <Characters>2535</Characters>
  <Lines>97</Lines>
  <Paragraphs>67</Paragraphs>
  <TotalTime>1</TotalTime>
  <ScaleCrop>false</ScaleCrop>
  <LinksUpToDate>false</LinksUpToDate>
  <CharactersWithSpaces>2587</CharactersWithSpaces>
  <Application>WPS Office_12.1.0.18608_F1E327BC-269C-435d-A152-05C5408002CA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2021-08-02T05:42:00Z</dcterms:created>
  <dc:creator>管理员</dc:creator>
  <cp:lastModifiedBy>身体倍儿棒</cp:lastModifiedBy>
  <cp:lastPrinted>2021-07-30T10:33:00Z</cp:lastPrinted>
  <dcterms:modified xsi:type="dcterms:W3CDTF">2024-12-02T01:25:07Z</dcterms:modified>
  <dc:title> </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40BCF007ACC24B6A88A58ED3D11104D2_13</vt:lpwstr>
  </property>
</Properties>
</file>