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jc w:val="center"/>
        <w:rPr>
          <w:rFonts w:hint="eastAsia" w:ascii="宋体" w:hAnsi="宋体" w:cs="宋体"/>
          <w:b/>
          <w:bCs/>
          <w:color w:val="000000"/>
          <w:spacing w:val="-20"/>
          <w:sz w:val="32"/>
          <w:szCs w:val="32"/>
          <w:highlight w:val="none"/>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jc w:val="center"/>
        <w:rPr>
          <w:rFonts w:hint="eastAsia" w:ascii="宋体" w:hAnsi="宋体" w:cs="宋体"/>
          <w:b/>
          <w:bCs/>
          <w:color w:val="000000"/>
          <w:spacing w:val="-20"/>
          <w:sz w:val="32"/>
          <w:szCs w:val="32"/>
          <w:highlight w:val="none"/>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jc w:val="center"/>
        <w:rPr>
          <w:rFonts w:ascii="宋体" w:cs="宋体"/>
          <w:b/>
          <w:bCs/>
          <w:color w:val="000000"/>
          <w:spacing w:val="-20"/>
          <w:sz w:val="44"/>
          <w:szCs w:val="44"/>
          <w:highlight w:val="none"/>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jc w:val="center"/>
        <w:rPr>
          <w:rFonts w:hint="eastAsia" w:ascii="方正小标宋简体" w:hAnsi="方正小标宋简体" w:eastAsia="方正小标宋简体" w:cs="方正小标宋简体"/>
          <w:b w:val="0"/>
          <w:bCs w:val="0"/>
          <w:color w:val="000000"/>
          <w:spacing w:val="-20"/>
          <w:sz w:val="44"/>
          <w:szCs w:val="44"/>
          <w:highlight w:val="none"/>
        </w:rPr>
      </w:pPr>
      <w:r>
        <w:rPr>
          <w:rFonts w:hint="eastAsia" w:ascii="方正小标宋简体" w:hAnsi="方正小标宋简体" w:eastAsia="方正小标宋简体" w:cs="方正小标宋简体"/>
          <w:b w:val="0"/>
          <w:bCs w:val="0"/>
          <w:color w:val="000000"/>
          <w:spacing w:val="-20"/>
          <w:sz w:val="44"/>
          <w:szCs w:val="44"/>
          <w:highlight w:val="none"/>
          <w:lang w:val="en-US" w:eastAsia="zh-CN"/>
        </w:rPr>
        <w:t>密山市</w:t>
      </w:r>
      <w:r>
        <w:rPr>
          <w:rFonts w:hint="eastAsia" w:ascii="方正小标宋简体" w:hAnsi="方正小标宋简体" w:eastAsia="方正小标宋简体" w:cs="方正小标宋简体"/>
          <w:b w:val="0"/>
          <w:bCs w:val="0"/>
          <w:color w:val="000000"/>
          <w:spacing w:val="-20"/>
          <w:sz w:val="44"/>
          <w:szCs w:val="44"/>
          <w:highlight w:val="none"/>
        </w:rPr>
        <w:t>人民政府关于建立</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jc w:val="center"/>
        <w:rPr>
          <w:rFonts w:hint="eastAsia" w:ascii="方正小标宋简体" w:hAnsi="方正小标宋简体" w:eastAsia="方正小标宋简体" w:cs="方正小标宋简体"/>
          <w:b w:val="0"/>
          <w:bCs w:val="0"/>
          <w:color w:val="000000"/>
          <w:spacing w:val="-20"/>
          <w:sz w:val="44"/>
          <w:szCs w:val="44"/>
          <w:highlight w:val="none"/>
          <w:lang w:val="en-US" w:eastAsia="zh-CN"/>
        </w:rPr>
      </w:pPr>
      <w:r>
        <w:rPr>
          <w:rFonts w:hint="eastAsia" w:ascii="方正小标宋简体" w:hAnsi="方正小标宋简体" w:eastAsia="方正小标宋简体" w:cs="方正小标宋简体"/>
          <w:b w:val="0"/>
          <w:bCs w:val="0"/>
          <w:color w:val="000000"/>
          <w:spacing w:val="-20"/>
          <w:sz w:val="44"/>
          <w:szCs w:val="44"/>
          <w:highlight w:val="none"/>
        </w:rPr>
        <w:t>残疾儿童康复救助制度的实施</w:t>
      </w:r>
      <w:r>
        <w:rPr>
          <w:rFonts w:hint="eastAsia" w:ascii="方正小标宋简体" w:hAnsi="方正小标宋简体" w:eastAsia="方正小标宋简体" w:cs="方正小标宋简体"/>
          <w:b w:val="0"/>
          <w:bCs w:val="0"/>
          <w:color w:val="000000"/>
          <w:spacing w:val="-20"/>
          <w:sz w:val="44"/>
          <w:szCs w:val="44"/>
          <w:highlight w:val="none"/>
          <w:lang w:val="en-US" w:eastAsia="zh-CN"/>
        </w:rPr>
        <w:t>意见</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jc w:val="center"/>
        <w:rPr>
          <w:rFonts w:hint="eastAsia" w:ascii="楷体_GB2312" w:hAnsi="楷体_GB2312" w:eastAsia="楷体_GB2312" w:cs="楷体_GB2312"/>
          <w:b w:val="0"/>
          <w:bCs w:val="0"/>
          <w:color w:val="000000"/>
          <w:spacing w:val="-20"/>
          <w:sz w:val="36"/>
          <w:szCs w:val="36"/>
          <w:highlight w:val="none"/>
          <w:lang w:val="en-US" w:eastAsia="zh-CN"/>
        </w:rPr>
      </w:pPr>
      <w:r>
        <w:rPr>
          <w:rFonts w:hint="eastAsia" w:ascii="楷体_GB2312" w:hAnsi="楷体_GB2312" w:eastAsia="楷体_GB2312" w:cs="楷体_GB2312"/>
          <w:b w:val="0"/>
          <w:bCs w:val="0"/>
          <w:color w:val="000000"/>
          <w:spacing w:val="-20"/>
          <w:sz w:val="36"/>
          <w:szCs w:val="36"/>
          <w:highlight w:val="none"/>
          <w:lang w:val="en-US" w:eastAsia="zh-CN"/>
        </w:rPr>
        <w:t>（征求意见稿）</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jc w:val="center"/>
        <w:rPr>
          <w:rFonts w:ascii="宋体" w:cs="宋体"/>
          <w:b/>
          <w:bCs/>
          <w:color w:val="000000"/>
          <w:spacing w:val="-20"/>
          <w:sz w:val="44"/>
          <w:szCs w:val="44"/>
          <w:highlight w:val="none"/>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jc w:val="both"/>
        <w:rPr>
          <w:rFonts w:ascii="仿宋" w:hAnsi="仿宋" w:eastAsia="仿宋" w:cs="仿宋"/>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各乡镇人民政府，市政府各办、局：</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为进一步做好残疾儿童康复救助工作，按照《黑龙江省人民政府关于建立残疾儿</w:t>
      </w:r>
      <w:bookmarkStart w:id="4" w:name="_GoBack"/>
      <w:bookmarkEnd w:id="4"/>
      <w:r>
        <w:rPr>
          <w:rFonts w:hint="eastAsia" w:ascii="仿宋_GB2312" w:hAnsi="仿宋_GB2312" w:eastAsia="仿宋_GB2312" w:cs="仿宋_GB2312"/>
          <w:color w:val="000000"/>
          <w:sz w:val="32"/>
          <w:szCs w:val="32"/>
          <w:highlight w:val="none"/>
        </w:rPr>
        <w:t>童康复救助制度的实施意见》（黑政规〔2018〕20号）</w:t>
      </w:r>
      <w:r>
        <w:rPr>
          <w:rFonts w:hint="eastAsia" w:ascii="仿宋_GB2312" w:hAnsi="仿宋_GB2312" w:eastAsia="仿宋_GB2312" w:cs="仿宋_GB2312"/>
          <w:color w:val="000000"/>
          <w:sz w:val="32"/>
          <w:szCs w:val="32"/>
          <w:highlight w:val="none"/>
          <w:lang w:val="en-US" w:eastAsia="zh-CN"/>
        </w:rPr>
        <w:t>和</w:t>
      </w:r>
      <w:r>
        <w:rPr>
          <w:rFonts w:hint="eastAsia" w:ascii="仿宋_GB2312" w:hAnsi="仿宋_GB2312" w:eastAsia="仿宋_GB2312" w:cs="仿宋_GB2312"/>
          <w:sz w:val="32"/>
          <w:szCs w:val="40"/>
          <w:highlight w:val="none"/>
          <w:lang w:eastAsia="zh-CN"/>
        </w:rPr>
        <w:t>《鸡西市人民政府关于建立残疾儿童康复救助制度的实施意见》</w:t>
      </w:r>
      <w:bookmarkStart w:id="0" w:name="OLE_LINK1"/>
      <w:r>
        <w:rPr>
          <w:rFonts w:hint="eastAsia" w:ascii="仿宋_GB2312" w:hAnsi="仿宋_GB2312" w:eastAsia="仿宋_GB2312" w:cs="仿宋_GB2312"/>
          <w:sz w:val="32"/>
          <w:szCs w:val="40"/>
          <w:highlight w:val="none"/>
          <w:lang w:eastAsia="zh-CN"/>
        </w:rPr>
        <w:t>（鸡政规</w:t>
      </w:r>
      <w:r>
        <w:rPr>
          <w:rFonts w:hint="eastAsia" w:ascii="仿宋_GB2312" w:hAnsi="仿宋_GB2312" w:eastAsia="仿宋_GB2312" w:cs="仿宋_GB2312"/>
          <w:color w:val="000000"/>
          <w:sz w:val="32"/>
          <w:szCs w:val="32"/>
          <w:highlight w:val="none"/>
        </w:rPr>
        <w:t>〔201</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40"/>
          <w:highlight w:val="none"/>
          <w:lang w:val="en-US" w:eastAsia="zh-CN"/>
        </w:rPr>
        <w:t>4号）</w:t>
      </w:r>
      <w:bookmarkEnd w:id="0"/>
      <w:r>
        <w:rPr>
          <w:rFonts w:hint="eastAsia" w:ascii="仿宋_GB2312" w:hAnsi="仿宋_GB2312" w:eastAsia="仿宋_GB2312" w:cs="仿宋_GB2312"/>
          <w:color w:val="000000"/>
          <w:sz w:val="32"/>
          <w:szCs w:val="32"/>
          <w:highlight w:val="none"/>
        </w:rPr>
        <w:t>精神，</w:t>
      </w:r>
      <w:r>
        <w:rPr>
          <w:rFonts w:hint="eastAsia" w:ascii="仿宋_GB2312" w:hAnsi="仿宋_GB2312" w:eastAsia="仿宋_GB2312" w:cs="仿宋_GB2312"/>
          <w:color w:val="000000"/>
          <w:sz w:val="32"/>
          <w:szCs w:val="32"/>
          <w:highlight w:val="none"/>
          <w:lang w:val="en-US" w:eastAsia="zh-CN"/>
        </w:rPr>
        <w:t>加快建立较为完善的残疾儿童康复救助社会保障体系，</w:t>
      </w:r>
      <w:r>
        <w:rPr>
          <w:rFonts w:hint="eastAsia" w:ascii="仿宋_GB2312" w:hAnsi="仿宋_GB2312" w:eastAsia="仿宋_GB2312" w:cs="仿宋_GB2312"/>
          <w:color w:val="000000"/>
          <w:sz w:val="32"/>
          <w:szCs w:val="32"/>
          <w:highlight w:val="none"/>
        </w:rPr>
        <w:t>结合我市实际，制定</w:t>
      </w:r>
      <w:r>
        <w:rPr>
          <w:rFonts w:hint="eastAsia" w:ascii="仿宋_GB2312" w:hAnsi="仿宋_GB2312" w:eastAsia="仿宋_GB2312" w:cs="仿宋_GB2312"/>
          <w:color w:val="000000"/>
          <w:sz w:val="32"/>
          <w:szCs w:val="32"/>
          <w:highlight w:val="none"/>
          <w:lang w:val="en-US" w:eastAsia="zh-CN"/>
        </w:rPr>
        <w:t>如下实施意见</w:t>
      </w:r>
      <w:r>
        <w:rPr>
          <w:rFonts w:hint="eastAsia" w:ascii="仿宋_GB2312" w:hAnsi="仿宋_GB2312" w:eastAsia="仿宋_GB2312" w:cs="仿宋_GB2312"/>
          <w:color w:val="000000"/>
          <w:sz w:val="32"/>
          <w:szCs w:val="32"/>
          <w:highlight w:val="none"/>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hint="default" w:ascii="??_GB2312"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rPr>
        <w:t>一、</w:t>
      </w:r>
      <w:r>
        <w:rPr>
          <w:rFonts w:hint="eastAsia" w:ascii="黑体" w:hAnsi="黑体" w:eastAsia="黑体" w:cs="黑体"/>
          <w:color w:val="000000"/>
          <w:sz w:val="32"/>
          <w:szCs w:val="32"/>
          <w:highlight w:val="none"/>
          <w:lang w:val="en-US" w:eastAsia="zh-CN"/>
        </w:rPr>
        <w:t>总体要求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（一）指导思想</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sz w:val="32"/>
          <w:szCs w:val="40"/>
          <w:highlight w:val="none"/>
          <w:lang w:eastAsia="zh-CN"/>
        </w:rPr>
        <w:t>以习近平新时代中国特色社会主义思想为指导，全面深入贯彻落实党的</w:t>
      </w:r>
      <w:r>
        <w:rPr>
          <w:rFonts w:hint="eastAsia" w:ascii="仿宋_GB2312" w:hAnsi="仿宋_GB2312" w:eastAsia="仿宋_GB2312" w:cs="仿宋_GB2312"/>
          <w:sz w:val="32"/>
          <w:szCs w:val="40"/>
          <w:highlight w:val="none"/>
          <w:lang w:val="en-US" w:eastAsia="zh-CN"/>
        </w:rPr>
        <w:t>二十大关于“</w:t>
      </w:r>
      <w:r>
        <w:rPr>
          <w:rFonts w:hint="eastAsia" w:ascii="仿宋_GB2312" w:hAnsi="仿宋_GB2312" w:eastAsia="仿宋_GB2312" w:cs="仿宋_GB2312"/>
          <w:sz w:val="32"/>
          <w:szCs w:val="40"/>
          <w:highlight w:val="none"/>
          <w:lang w:eastAsia="zh-CN"/>
        </w:rPr>
        <w:t>完善残疾人社会保障制度和关爱服务体系，促进残疾人事业全面发展</w:t>
      </w:r>
      <w:r>
        <w:rPr>
          <w:rFonts w:hint="eastAsia" w:ascii="仿宋_GB2312" w:hAnsi="仿宋_GB2312" w:eastAsia="仿宋_GB2312" w:cs="仿宋_GB2312"/>
          <w:sz w:val="32"/>
          <w:szCs w:val="40"/>
          <w:highlight w:val="none"/>
          <w:lang w:val="en-US" w:eastAsia="zh-CN"/>
        </w:rPr>
        <w:t>”</w:t>
      </w:r>
      <w:r>
        <w:rPr>
          <w:rFonts w:hint="eastAsia" w:ascii="仿宋_GB2312" w:hAnsi="仿宋_GB2312" w:eastAsia="仿宋_GB2312" w:cs="仿宋_GB2312"/>
          <w:sz w:val="32"/>
          <w:szCs w:val="40"/>
          <w:highlight w:val="none"/>
          <w:lang w:eastAsia="zh-CN"/>
        </w:rPr>
        <w:t>的重要部署，按照兜底线、织密网、建机制的要求，着力保障残疾儿童基本康复服务需求，切实改善残疾儿童康复状况、减轻残疾儿童家庭负担，努力实现残疾儿童“人人享有康复服务”的目标，使残疾儿童家庭获得感、幸福感、安全感更加充实、更有保障、更可持续。</w:t>
      </w:r>
    </w:p>
    <w:p>
      <w:pPr>
        <w:pStyle w:val="5"/>
        <w:widowControl/>
        <w:spacing w:beforeAutospacing="0" w:afterAutospacing="0" w:line="600" w:lineRule="exact"/>
        <w:ind w:firstLine="640" w:firstLineChars="200"/>
        <w:jc w:val="both"/>
        <w:rPr>
          <w:rFonts w:ascii="楷体" w:hAnsi="楷体" w:eastAsia="楷体" w:cs="楷体"/>
          <w:color w:val="000000"/>
          <w:sz w:val="32"/>
          <w:szCs w:val="32"/>
          <w:highlight w:val="none"/>
        </w:rPr>
      </w:pPr>
      <w:r>
        <w:rPr>
          <w:rFonts w:hint="eastAsia" w:ascii="楷体" w:hAnsi="楷体" w:eastAsia="楷体" w:cs="楷体"/>
          <w:color w:val="000000"/>
          <w:sz w:val="32"/>
          <w:szCs w:val="32"/>
          <w:highlight w:val="none"/>
        </w:rPr>
        <w:t>（二）基本原则</w:t>
      </w:r>
    </w:p>
    <w:p>
      <w:pPr>
        <w:pStyle w:val="5"/>
        <w:widowControl/>
        <w:spacing w:beforeAutospacing="0" w:afterAutospacing="0" w:line="600" w:lineRule="exact"/>
        <w:ind w:firstLine="640"/>
        <w:jc w:val="both"/>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b/>
          <w:bCs/>
          <w:sz w:val="32"/>
          <w:szCs w:val="40"/>
          <w:highlight w:val="none"/>
          <w:lang w:eastAsia="zh-CN"/>
        </w:rPr>
        <w:t>坚持制度衔接、应救尽救。</w:t>
      </w:r>
      <w:r>
        <w:rPr>
          <w:rFonts w:hint="eastAsia" w:ascii="仿宋_GB2312" w:hAnsi="仿宋_GB2312" w:eastAsia="仿宋_GB2312" w:cs="仿宋_GB2312"/>
          <w:sz w:val="32"/>
          <w:szCs w:val="40"/>
          <w:highlight w:val="none"/>
          <w:lang w:eastAsia="zh-CN"/>
        </w:rPr>
        <w:t>加强与基本医疗、临时救助等社会保障制度的有效衔接，确保残疾儿童家庭求助有门、救助及时。</w:t>
      </w:r>
    </w:p>
    <w:p>
      <w:pPr>
        <w:pStyle w:val="5"/>
        <w:widowControl/>
        <w:spacing w:beforeAutospacing="0" w:afterAutospacing="0" w:line="600" w:lineRule="exact"/>
        <w:ind w:firstLine="640"/>
        <w:jc w:val="both"/>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b/>
          <w:bCs/>
          <w:sz w:val="32"/>
          <w:szCs w:val="40"/>
          <w:highlight w:val="none"/>
          <w:lang w:eastAsia="zh-CN"/>
        </w:rPr>
        <w:t>坚持尽力而为、量力而行。</w:t>
      </w:r>
      <w:r>
        <w:rPr>
          <w:rFonts w:hint="eastAsia" w:ascii="仿宋_GB2312" w:hAnsi="仿宋_GB2312" w:eastAsia="仿宋_GB2312" w:cs="仿宋_GB2312"/>
          <w:sz w:val="32"/>
          <w:szCs w:val="40"/>
          <w:highlight w:val="none"/>
          <w:lang w:eastAsia="zh-CN"/>
        </w:rPr>
        <w:t>坚守底线、突出重点、完善制度、引导预期，着力满足残疾儿童基本康复服务需求。</w:t>
      </w:r>
    </w:p>
    <w:p>
      <w:pPr>
        <w:pStyle w:val="5"/>
        <w:widowControl/>
        <w:spacing w:beforeAutospacing="0" w:afterAutospacing="0" w:line="600" w:lineRule="exact"/>
        <w:ind w:firstLine="640"/>
        <w:jc w:val="both"/>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b/>
          <w:bCs/>
          <w:sz w:val="32"/>
          <w:szCs w:val="40"/>
          <w:highlight w:val="none"/>
          <w:lang w:eastAsia="zh-CN"/>
        </w:rPr>
        <w:t>坚持规范有序、公开公正。</w:t>
      </w:r>
      <w:r>
        <w:rPr>
          <w:rFonts w:hint="eastAsia" w:ascii="仿宋_GB2312" w:hAnsi="仿宋_GB2312" w:eastAsia="仿宋_GB2312" w:cs="仿宋_GB2312"/>
          <w:sz w:val="32"/>
          <w:szCs w:val="40"/>
          <w:highlight w:val="none"/>
          <w:lang w:eastAsia="zh-CN"/>
        </w:rPr>
        <w:t>建立科学规范、便民高效的运行机制，主动接受群众和社会监督，做到公开透明、结果公正。</w:t>
      </w:r>
    </w:p>
    <w:p>
      <w:pPr>
        <w:pStyle w:val="5"/>
        <w:widowControl/>
        <w:spacing w:beforeAutospacing="0" w:afterAutospacing="0" w:line="600" w:lineRule="exact"/>
        <w:ind w:firstLine="640"/>
        <w:jc w:val="both"/>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b/>
          <w:bCs/>
          <w:sz w:val="32"/>
          <w:szCs w:val="40"/>
          <w:highlight w:val="none"/>
          <w:lang w:eastAsia="zh-CN"/>
        </w:rPr>
        <w:t>坚持政府主导、社会参与。</w:t>
      </w:r>
      <w:r>
        <w:rPr>
          <w:rFonts w:hint="eastAsia" w:ascii="仿宋_GB2312" w:hAnsi="仿宋_GB2312" w:eastAsia="仿宋_GB2312" w:cs="仿宋_GB2312"/>
          <w:sz w:val="32"/>
          <w:szCs w:val="40"/>
          <w:highlight w:val="none"/>
          <w:lang w:eastAsia="zh-CN"/>
        </w:rPr>
        <w:t>更好发挥政府“保基本”作用，不断推进基本康复服务均等化；更好发挥社会力量作用，不断扩大康复服务供给，提高康复服务质量。</w:t>
      </w:r>
    </w:p>
    <w:p>
      <w:pPr>
        <w:pStyle w:val="5"/>
        <w:widowControl/>
        <w:spacing w:beforeAutospacing="0" w:afterAutospacing="0" w:line="600" w:lineRule="exact"/>
        <w:ind w:firstLine="640"/>
        <w:jc w:val="both"/>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b/>
          <w:bCs/>
          <w:sz w:val="32"/>
          <w:szCs w:val="40"/>
          <w:highlight w:val="none"/>
          <w:lang w:eastAsia="zh-CN"/>
        </w:rPr>
        <w:t>坚持家庭尽责、共同推进。</w:t>
      </w:r>
      <w:r>
        <w:rPr>
          <w:rFonts w:hint="eastAsia" w:ascii="仿宋_GB2312" w:hAnsi="仿宋_GB2312" w:eastAsia="仿宋_GB2312" w:cs="仿宋_GB2312"/>
          <w:sz w:val="32"/>
          <w:szCs w:val="40"/>
          <w:highlight w:val="none"/>
          <w:lang w:eastAsia="zh-CN"/>
        </w:rPr>
        <w:t>增强家庭抚养、教育、保护残疾儿童的第一责任主体意识，形成家庭尽责、社会参与、政府保障的共同推进格局。</w:t>
      </w:r>
    </w:p>
    <w:p>
      <w:pPr>
        <w:pStyle w:val="5"/>
        <w:widowControl/>
        <w:spacing w:beforeAutospacing="0" w:afterAutospacing="0" w:line="600" w:lineRule="exact"/>
        <w:ind w:firstLine="640"/>
        <w:jc w:val="both"/>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b/>
          <w:bCs/>
          <w:sz w:val="32"/>
          <w:szCs w:val="40"/>
          <w:highlight w:val="none"/>
          <w:lang w:eastAsia="zh-CN"/>
        </w:rPr>
        <w:t>坚持统筹资源、分类保障。</w:t>
      </w:r>
      <w:r>
        <w:rPr>
          <w:rFonts w:hint="eastAsia" w:ascii="仿宋_GB2312" w:hAnsi="仿宋_GB2312" w:eastAsia="仿宋_GB2312" w:cs="仿宋_GB2312"/>
          <w:sz w:val="32"/>
          <w:szCs w:val="40"/>
          <w:highlight w:val="none"/>
          <w:lang w:eastAsia="zh-CN"/>
        </w:rPr>
        <w:t>根据残疾儿童自身障碍、家庭经济和养护情况、残疾儿童康复救助等实际，统筹资金，精准施策，分类保障。</w:t>
      </w:r>
    </w:p>
    <w:p>
      <w:pPr>
        <w:pStyle w:val="5"/>
        <w:widowControl/>
        <w:spacing w:beforeAutospacing="0" w:afterAutospacing="0" w:line="600" w:lineRule="exact"/>
        <w:ind w:firstLine="640"/>
        <w:jc w:val="both"/>
        <w:rPr>
          <w:rFonts w:ascii="??_GB2312" w:hAnsi="仿宋" w:cs="仿宋"/>
          <w:color w:val="000000"/>
          <w:sz w:val="32"/>
          <w:szCs w:val="32"/>
          <w:highlight w:val="none"/>
        </w:rPr>
      </w:pPr>
      <w:r>
        <w:rPr>
          <w:rFonts w:hint="eastAsia" w:ascii="楷体" w:hAnsi="楷体" w:eastAsia="楷体" w:cs="楷体"/>
          <w:color w:val="000000"/>
          <w:sz w:val="32"/>
          <w:szCs w:val="32"/>
          <w:highlight w:val="none"/>
        </w:rPr>
        <w:t>（三）总体目标</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eastAsia="zh-CN"/>
        </w:rPr>
        <w:t>从</w:t>
      </w:r>
      <w:r>
        <w:rPr>
          <w:rFonts w:hint="eastAsia" w:ascii="仿宋_GB2312" w:hAnsi="仿宋_GB2312" w:eastAsia="仿宋_GB2312" w:cs="仿宋_GB2312"/>
          <w:sz w:val="32"/>
          <w:szCs w:val="40"/>
          <w:highlight w:val="none"/>
          <w:lang w:val="en-US" w:eastAsia="zh-CN"/>
        </w:rPr>
        <w:t>2025年起，建立与全面建成小康社会目标相适应的残疾儿童康复救助制度体系，增强残疾儿童康复服务供给能力，提高服务质量和保障水平，让更多残疾儿童享有基本康复服务，健康成长、全面发展权益得到有效保障，形成党委领导、政府主导、残联牵头、部门配合、社会参与的残疾儿童康复救助工作格局，基本实现残疾儿童应救尽救。</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579" w:firstLineChars="181"/>
        <w:jc w:val="both"/>
        <w:rPr>
          <w:rFonts w:ascii="??_GB2312" w:hAnsi="仿宋" w:eastAsia="Times New Roman" w:cs="仿宋"/>
          <w:color w:val="000000"/>
          <w:sz w:val="32"/>
          <w:szCs w:val="32"/>
          <w:highlight w:val="none"/>
        </w:rPr>
      </w:pPr>
      <w:r>
        <w:rPr>
          <w:rFonts w:hint="eastAsia" w:ascii="黑体" w:hAnsi="黑体" w:eastAsia="黑体" w:cs="黑体"/>
          <w:color w:val="000000"/>
          <w:sz w:val="32"/>
          <w:szCs w:val="32"/>
          <w:highlight w:val="none"/>
        </w:rPr>
        <w:t>二、</w:t>
      </w:r>
      <w:r>
        <w:rPr>
          <w:rFonts w:hint="eastAsia" w:ascii="黑体" w:hAnsi="黑体" w:eastAsia="黑体" w:cs="黑体"/>
          <w:color w:val="000000"/>
          <w:sz w:val="32"/>
          <w:szCs w:val="32"/>
          <w:highlight w:val="none"/>
          <w:lang w:val="en-US" w:eastAsia="zh-CN"/>
        </w:rPr>
        <w:t>主要</w:t>
      </w:r>
      <w:r>
        <w:rPr>
          <w:rFonts w:hint="eastAsia" w:ascii="黑体" w:hAnsi="黑体" w:eastAsia="黑体" w:cs="黑体"/>
          <w:color w:val="000000"/>
          <w:sz w:val="32"/>
          <w:szCs w:val="32"/>
          <w:highlight w:val="none"/>
        </w:rPr>
        <w:t>内容</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lang w:val="en-US" w:eastAsia="zh-CN"/>
        </w:rPr>
        <w:t>（一）救助对象</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救助对象为具有密山市户籍（密山市居住证），有康复需求，经专业医疗机构诊断并评估认定，有相应康复适应指征，通过康复服务可以达到功能重建或改善的0—8岁视力、听力、言语、肢体、智力等残疾儿童和孤独症儿童。优先救助城乡最低生活保障家庭、脱贫户家庭、</w:t>
      </w:r>
      <w:bookmarkStart w:id="1" w:name="OLE_LINK2"/>
      <w:r>
        <w:rPr>
          <w:rFonts w:hint="eastAsia" w:ascii="仿宋_GB2312" w:hAnsi="仿宋_GB2312" w:eastAsia="仿宋_GB2312" w:cs="仿宋_GB2312"/>
          <w:sz w:val="32"/>
          <w:szCs w:val="40"/>
          <w:highlight w:val="none"/>
          <w:lang w:val="en-US" w:eastAsia="zh-CN"/>
        </w:rPr>
        <w:t>监测户家庭</w:t>
      </w:r>
      <w:bookmarkEnd w:id="1"/>
      <w:r>
        <w:rPr>
          <w:rFonts w:hint="eastAsia" w:ascii="仿宋_GB2312" w:hAnsi="仿宋_GB2312" w:eastAsia="仿宋_GB2312" w:cs="仿宋_GB2312"/>
          <w:sz w:val="32"/>
          <w:szCs w:val="40"/>
          <w:highlight w:val="none"/>
          <w:lang w:val="en-US" w:eastAsia="zh-CN"/>
        </w:rPr>
        <w:t>的残疾儿童和儿童福利机构收留抚养的残疾儿童；残疾孤儿、纳入特困人员供养范围的残疾儿童；其他经济困难家庭的残疾儿童。其他经济困难家庭的具体认定办法，由市政府制定。</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lang w:val="en-US" w:eastAsia="zh-CN"/>
        </w:rPr>
        <w:t>（二）救助内容和标准</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救助内容以减轻功能障碍、改善功能状况、增强生活自理和社会参与能力为主要目的的手术、辅助器具配置和康复训练等。服务项目及补助标准见《密山市0-8岁残疾儿童康复服务救助补助标准》。</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市政府可依据本地财力状况、保障对象数量、残疾类别等，分类确定康复救助基本服务项目的经费保障标准，增加残疾儿童康复救助服务项目，并建立救助项目和救助标准动态调整机制。</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lang w:val="en-US" w:eastAsia="zh-CN"/>
        </w:rPr>
        <w:t>（三）工作流程</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2"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1、申请。</w:t>
      </w:r>
      <w:r>
        <w:rPr>
          <w:rFonts w:hint="eastAsia" w:ascii="仿宋_GB2312" w:hAnsi="仿宋_GB2312" w:eastAsia="仿宋_GB2312" w:cs="仿宋_GB2312"/>
          <w:sz w:val="32"/>
          <w:szCs w:val="40"/>
          <w:highlight w:val="none"/>
          <w:lang w:val="en-US" w:eastAsia="zh-CN"/>
        </w:rPr>
        <w:t>残疾儿童监护人向市残联提出申请。监护人也可委托他人、社会组织、社会救助经办机构等代为申请。</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2"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2、审核。</w:t>
      </w:r>
      <w:r>
        <w:rPr>
          <w:rFonts w:hint="eastAsia" w:ascii="仿宋_GB2312" w:hAnsi="仿宋_GB2312" w:eastAsia="仿宋_GB2312" w:cs="仿宋_GB2312"/>
          <w:sz w:val="32"/>
          <w:szCs w:val="40"/>
          <w:highlight w:val="none"/>
          <w:lang w:val="en-US" w:eastAsia="zh-CN"/>
        </w:rPr>
        <w:t>市残联按照残疾儿童康复救助相关标准和规定负责对残疾儿童相关情况进行审核、认定，按照程序办理相关手续。城乡最低生活保障家庭、脱贫户家庭、监测户家庭的残疾儿童和儿童福利机构收留抚养的残疾儿童的救助申请，以及残疾孤儿、纳入特困人员供养范围的残疾儿童的救助申请，由市残联组织与民政、农业农村局等部门进行相关信息比对后作出决定。其他经济困难家庭的残疾儿童的救助申请的审核程序，由市政府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2"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3、救助。</w:t>
      </w:r>
      <w:r>
        <w:rPr>
          <w:rFonts w:hint="eastAsia" w:ascii="仿宋_GB2312" w:hAnsi="仿宋_GB2312" w:eastAsia="仿宋_GB2312" w:cs="仿宋_GB2312"/>
          <w:sz w:val="32"/>
          <w:szCs w:val="40"/>
          <w:highlight w:val="none"/>
          <w:lang w:val="en-US" w:eastAsia="zh-CN"/>
        </w:rPr>
        <w:t>经审核符合条件的残疾儿童，由监护人自主选择残疾儿童定点康复服务机构接受康复服务。必要时，由市残联和卫生健康等部门指定的医疗、康复机构做进一步诊断、康复需求评估。</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残疾儿童定点康复服务机构由县级以上残联组织会同卫生健康、教育、民政等部门按照公开择优原则选择确定，要严格按照各类残疾儿童康复项目服务规范开展康复服务。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2"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4、效果评估。</w:t>
      </w:r>
      <w:r>
        <w:rPr>
          <w:rFonts w:hint="eastAsia" w:ascii="仿宋_GB2312" w:hAnsi="仿宋_GB2312" w:eastAsia="仿宋_GB2312" w:cs="仿宋_GB2312"/>
          <w:sz w:val="32"/>
          <w:szCs w:val="40"/>
          <w:highlight w:val="none"/>
          <w:lang w:val="en-US" w:eastAsia="zh-CN"/>
        </w:rPr>
        <w:t>残疾儿童定点康复服务机构要对在训残疾儿童每年度进行阶段性康复效果评估。市残联牵头建立专家技术指导组，每年组织专家或委托第三方机构，对残疾儿童定点康复服务机构进行康复服务效果评估。</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2"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5、资金结算。</w:t>
      </w:r>
      <w:r>
        <w:rPr>
          <w:rFonts w:hint="eastAsia" w:ascii="仿宋_GB2312" w:hAnsi="仿宋_GB2312" w:eastAsia="仿宋_GB2312" w:cs="仿宋_GB2312"/>
          <w:sz w:val="32"/>
          <w:szCs w:val="40"/>
          <w:highlight w:val="none"/>
          <w:lang w:val="en-US" w:eastAsia="zh-CN"/>
        </w:rPr>
        <w:t>在残疾儿童定点康复服务机构接受康复服务发生的费用，经市残联组织审核后，由市财政部门根据审核结果拨付资金。</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2"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6、经费保障。</w:t>
      </w:r>
      <w:r>
        <w:rPr>
          <w:rFonts w:hint="eastAsia" w:ascii="仿宋_GB2312" w:hAnsi="仿宋_GB2312" w:eastAsia="仿宋_GB2312" w:cs="仿宋_GB2312"/>
          <w:sz w:val="32"/>
          <w:szCs w:val="40"/>
          <w:highlight w:val="none"/>
          <w:lang w:val="en-US" w:eastAsia="zh-CN"/>
        </w:rPr>
        <w:t>市政府将残疾儿童康复救助资金纳入政府预算。省财政在中央补助基础上对各地给予适当补助。健全多渠道筹资机制，鼓励、引导社会捐赠。</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sz w:val="32"/>
          <w:szCs w:val="40"/>
          <w:highlight w:val="none"/>
          <w:lang w:val="en-US" w:eastAsia="zh-CN"/>
        </w:rPr>
        <w:t>对城乡最低生活保障家庭及脱贫户、监测户家庭仍有特殊困难，符合条件的，可通过临时救助、慈善救助给予生活补助。</w:t>
      </w:r>
    </w:p>
    <w:p>
      <w:pPr>
        <w:pStyle w:val="5"/>
        <w:widowControl/>
        <w:spacing w:beforeAutospacing="0" w:afterAutospacing="0" w:line="600" w:lineRule="exact"/>
        <w:ind w:firstLine="579" w:firstLineChars="181"/>
        <w:jc w:val="both"/>
        <w:rPr>
          <w:rFonts w:ascii="??_GB2312" w:hAnsi="黑体" w:eastAsia="Times New Roman" w:cs="黑体"/>
          <w:bCs/>
          <w:color w:val="000000"/>
          <w:sz w:val="32"/>
          <w:szCs w:val="32"/>
          <w:highlight w:val="none"/>
        </w:rPr>
      </w:pPr>
      <w:r>
        <w:rPr>
          <w:rFonts w:hint="eastAsia" w:ascii="黑体" w:hAnsi="黑体" w:eastAsia="黑体" w:cs="黑体"/>
          <w:bCs/>
          <w:color w:val="000000"/>
          <w:sz w:val="32"/>
          <w:szCs w:val="32"/>
          <w:highlight w:val="none"/>
        </w:rPr>
        <w:t>三、组织实施</w:t>
      </w:r>
    </w:p>
    <w:p>
      <w:pPr>
        <w:pStyle w:val="5"/>
        <w:widowControl/>
        <w:spacing w:beforeAutospacing="0" w:afterAutospacing="0" w:line="600" w:lineRule="exact"/>
        <w:ind w:firstLine="640"/>
        <w:jc w:val="both"/>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rPr>
        <w:t>（一）加强组织领导</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残疾儿童康复救助工作实行县级以上政府负责制。要将残疾儿童康复救助工作列入重要议事日程，作为政府目标管理和绩效考核重要内容，对不作为、慢作为、乱作为的单位和个人加大行政问责力度，对违纪违法的严肃追究责任。残联组织和教育、民政、财政、医保、卫生健康、市场监管等部门要分工协作，共同组织好残疾儿童康复救助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2"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残联组织</w:t>
      </w:r>
      <w:r>
        <w:rPr>
          <w:rFonts w:hint="eastAsia" w:ascii="仿宋_GB2312" w:hAnsi="仿宋_GB2312" w:eastAsia="仿宋_GB2312" w:cs="仿宋_GB2312"/>
          <w:sz w:val="32"/>
          <w:szCs w:val="40"/>
          <w:highlight w:val="none"/>
          <w:lang w:val="en-US" w:eastAsia="zh-CN"/>
        </w:rPr>
        <w:t>要切实发挥好统筹协调作用，会同相关部门做好宣传发动、儿童残疾筛查、残疾儿童定点康复服务机构准入与退出监管、救助对象审核工作；组织残疾儿童康复救助检查、指导、评估、培训等工作。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2"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教育部门</w:t>
      </w:r>
      <w:r>
        <w:rPr>
          <w:rFonts w:hint="eastAsia" w:ascii="仿宋_GB2312" w:hAnsi="仿宋_GB2312" w:eastAsia="仿宋_GB2312" w:cs="仿宋_GB2312"/>
          <w:sz w:val="32"/>
          <w:szCs w:val="40"/>
          <w:highlight w:val="none"/>
          <w:lang w:val="en-US" w:eastAsia="zh-CN"/>
        </w:rPr>
        <w:t>支持幼儿园开展融合教育；具备残疾儿童定点康复服务机构条件的特殊教育学校、融合教育幼儿园开展0—8岁残疾儿童康复服务，为残疾儿童就近就地提供康复服务。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2"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民政部门</w:t>
      </w:r>
      <w:r>
        <w:rPr>
          <w:rFonts w:hint="eastAsia" w:ascii="仿宋_GB2312" w:hAnsi="仿宋_GB2312" w:eastAsia="仿宋_GB2312" w:cs="仿宋_GB2312"/>
          <w:sz w:val="32"/>
          <w:szCs w:val="40"/>
          <w:highlight w:val="none"/>
          <w:lang w:val="en-US" w:eastAsia="zh-CN"/>
        </w:rPr>
        <w:t>负责儿童福利机构收留抚养的残疾儿童以及残疾孤儿、纳入特困人员供养范围的残疾儿童康复救助工作，配合上级部门落实“</w:t>
      </w:r>
      <w:bookmarkStart w:id="2" w:name="OLE_LINK3"/>
      <w:r>
        <w:rPr>
          <w:rFonts w:hint="eastAsia" w:ascii="仿宋_GB2312" w:hAnsi="仿宋_GB2312" w:eastAsia="仿宋_GB2312" w:cs="仿宋_GB2312"/>
          <w:sz w:val="32"/>
          <w:szCs w:val="40"/>
          <w:highlight w:val="none"/>
          <w:lang w:val="en-US" w:eastAsia="zh-CN"/>
        </w:rPr>
        <w:t>明天计划</w:t>
      </w:r>
      <w:bookmarkEnd w:id="2"/>
      <w:r>
        <w:rPr>
          <w:rFonts w:hint="eastAsia" w:ascii="仿宋_GB2312" w:hAnsi="仿宋_GB2312" w:eastAsia="仿宋_GB2312" w:cs="仿宋_GB2312"/>
          <w:sz w:val="32"/>
          <w:szCs w:val="40"/>
          <w:highlight w:val="none"/>
          <w:lang w:val="en-US" w:eastAsia="zh-CN"/>
        </w:rPr>
        <w:t>”、“</w:t>
      </w:r>
      <w:bookmarkStart w:id="3" w:name="OLE_LINK4"/>
      <w:r>
        <w:rPr>
          <w:rFonts w:hint="eastAsia" w:ascii="仿宋_GB2312" w:hAnsi="仿宋_GB2312" w:eastAsia="仿宋_GB2312" w:cs="仿宋_GB2312"/>
          <w:sz w:val="32"/>
          <w:szCs w:val="40"/>
          <w:highlight w:val="none"/>
          <w:lang w:val="en-US" w:eastAsia="zh-CN"/>
        </w:rPr>
        <w:t>龙江爱心助残</w:t>
      </w:r>
      <w:bookmarkEnd w:id="3"/>
      <w:r>
        <w:rPr>
          <w:rFonts w:hint="eastAsia" w:ascii="仿宋_GB2312" w:hAnsi="仿宋_GB2312" w:eastAsia="仿宋_GB2312" w:cs="仿宋_GB2312"/>
          <w:sz w:val="32"/>
          <w:szCs w:val="40"/>
          <w:highlight w:val="none"/>
          <w:lang w:val="en-US" w:eastAsia="zh-CN"/>
        </w:rPr>
        <w:t>”工程等项目。对城乡最低生活保障家庭及脱贫户、监测户家庭仍有特殊困难，符合条件的，可通过临时救助、慈善救助予以救助。</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2"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财政部门</w:t>
      </w:r>
      <w:r>
        <w:rPr>
          <w:rFonts w:hint="eastAsia" w:ascii="仿宋_GB2312" w:hAnsi="仿宋_GB2312" w:eastAsia="仿宋_GB2312" w:cs="仿宋_GB2312"/>
          <w:sz w:val="32"/>
          <w:szCs w:val="40"/>
          <w:highlight w:val="none"/>
          <w:lang w:val="en-US" w:eastAsia="zh-CN"/>
        </w:rPr>
        <w:t>负责多渠道筹措资金，支持做好残疾儿童康复救助工作。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2"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医疗保障部门</w:t>
      </w:r>
      <w:r>
        <w:rPr>
          <w:rFonts w:hint="eastAsia" w:ascii="仿宋_GB2312" w:hAnsi="仿宋_GB2312" w:eastAsia="仿宋_GB2312" w:cs="仿宋_GB2312"/>
          <w:sz w:val="32"/>
          <w:szCs w:val="40"/>
          <w:highlight w:val="none"/>
          <w:lang w:val="en-US" w:eastAsia="zh-CN"/>
        </w:rPr>
        <w:t>负责对纳入医疗保险范围的定点医疗机构为参保人员提供的医疗服务行为进行管理、监督。按照上级要求逐步将残疾儿童康复项目纳入城乡居民基本医疗保险报销范围，并逐步扩大支付范围，提高报销支付比例。</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2"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卫生健康部门</w:t>
      </w:r>
      <w:r>
        <w:rPr>
          <w:rFonts w:hint="eastAsia" w:ascii="仿宋_GB2312" w:hAnsi="仿宋_GB2312" w:eastAsia="仿宋_GB2312" w:cs="仿宋_GB2312"/>
          <w:sz w:val="32"/>
          <w:szCs w:val="40"/>
          <w:highlight w:val="none"/>
          <w:lang w:val="en-US" w:eastAsia="zh-CN"/>
        </w:rPr>
        <w:t>负责医疗康复机构的资质审定和管理监督，加强医疗卫生专业技术人员康复技术培训。落实《0—6岁儿童残疾筛查工作规范（试行）》，建立新生儿及儿童致残性疾病和出生缺陷筛查、诊断、干预一体化工作机制。</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2" w:firstLineChars="200"/>
        <w:jc w:val="both"/>
        <w:rPr>
          <w:rFonts w:ascii="??_GB2312" w:eastAsia="Times New Roman"/>
          <w:b/>
          <w:bCs/>
          <w:color w:val="000000"/>
          <w:kern w:val="0"/>
          <w:sz w:val="32"/>
          <w:szCs w:val="32"/>
          <w:highlight w:val="none"/>
        </w:rPr>
      </w:pPr>
      <w:r>
        <w:rPr>
          <w:rFonts w:hint="eastAsia" w:ascii="仿宋_GB2312" w:hAnsi="仿宋_GB2312" w:eastAsia="仿宋_GB2312" w:cs="仿宋_GB2312"/>
          <w:b/>
          <w:bCs/>
          <w:sz w:val="32"/>
          <w:szCs w:val="40"/>
          <w:highlight w:val="none"/>
          <w:lang w:val="en-US" w:eastAsia="zh-CN"/>
        </w:rPr>
        <w:t>市场监管部门</w:t>
      </w:r>
      <w:r>
        <w:rPr>
          <w:rFonts w:hint="eastAsia" w:ascii="仿宋_GB2312" w:hAnsi="仿宋_GB2312" w:eastAsia="仿宋_GB2312" w:cs="仿宋_GB2312"/>
          <w:sz w:val="32"/>
          <w:szCs w:val="40"/>
          <w:highlight w:val="none"/>
          <w:lang w:val="en-US" w:eastAsia="zh-CN"/>
        </w:rPr>
        <w:t>要做好营利性康复机构登记注册。要加强对康复机构价格行为监督，督促康复机构建立健全内部价格管理制度，对康复机构价格违法行为依法严肃处理。</w:t>
      </w:r>
    </w:p>
    <w:p>
      <w:pPr>
        <w:pStyle w:val="5"/>
        <w:widowControl/>
        <w:spacing w:beforeAutospacing="0" w:afterAutospacing="0" w:line="600" w:lineRule="exact"/>
        <w:ind w:firstLine="420"/>
        <w:jc w:val="both"/>
        <w:rPr>
          <w:rFonts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（二）加强能力建设</w:t>
      </w:r>
    </w:p>
    <w:p>
      <w:pPr>
        <w:pStyle w:val="5"/>
        <w:widowControl/>
        <w:spacing w:beforeAutospacing="0" w:afterAutospacing="0" w:line="600" w:lineRule="exact"/>
        <w:ind w:firstLine="64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1、提高科学规划举办康复机构能力。</w:t>
      </w:r>
      <w:r>
        <w:rPr>
          <w:rFonts w:hint="eastAsia" w:ascii="仿宋_GB2312" w:hAnsi="仿宋_GB2312" w:eastAsia="仿宋_GB2312" w:cs="仿宋_GB2312"/>
          <w:sz w:val="32"/>
          <w:szCs w:val="40"/>
          <w:highlight w:val="none"/>
          <w:lang w:val="en-US" w:eastAsia="zh-CN"/>
        </w:rPr>
        <w:t>市政府根据本行政区域残疾人数量、分布状况、康复需求等实际，制定康复机构设置规划。举办公益性康复机构，将康复机构设置纳入基本公共服务体系规划。用好残疾儿童康复救助服务管理综合信息平台。</w:t>
      </w:r>
    </w:p>
    <w:p>
      <w:pPr>
        <w:pStyle w:val="5"/>
        <w:widowControl/>
        <w:spacing w:beforeAutospacing="0" w:afterAutospacing="0" w:line="600" w:lineRule="exact"/>
        <w:ind w:firstLine="64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2、提高机构和从业人员服务能力。</w:t>
      </w:r>
      <w:r>
        <w:rPr>
          <w:rFonts w:hint="eastAsia" w:ascii="仿宋_GB2312" w:hAnsi="仿宋_GB2312" w:eastAsia="仿宋_GB2312" w:cs="仿宋_GB2312"/>
          <w:sz w:val="32"/>
          <w:szCs w:val="40"/>
          <w:highlight w:val="none"/>
          <w:lang w:val="en-US" w:eastAsia="zh-CN"/>
        </w:rPr>
        <w:t>加大对残疾儿童定点康复服务机构设施、设备投入力度，不断提升机构服务能力；加强康复人才教育培训培养，不断提高康复服务从业人员能力素质；切实增强残疾儿童康复救助工作经办能力，确保事有人做、责有人负。</w:t>
      </w:r>
    </w:p>
    <w:p>
      <w:pPr>
        <w:pStyle w:val="5"/>
        <w:widowControl/>
        <w:spacing w:beforeAutospacing="0" w:afterAutospacing="0" w:line="600" w:lineRule="exact"/>
        <w:ind w:firstLine="64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3、提高社会力量康复服务能力。</w:t>
      </w:r>
      <w:r>
        <w:rPr>
          <w:rFonts w:hint="eastAsia" w:ascii="仿宋_GB2312" w:hAnsi="仿宋_GB2312" w:eastAsia="仿宋_GB2312" w:cs="仿宋_GB2312"/>
          <w:sz w:val="32"/>
          <w:szCs w:val="40"/>
          <w:highlight w:val="none"/>
          <w:lang w:val="en-US" w:eastAsia="zh-CN"/>
        </w:rPr>
        <w:t>支持社会力量投资康复机构建设，鼓励多种形式举办康复机构。社会力量举办的康复机构和政府举办的康复机构在准入、执业、专业技术人员职称评定、非营利组织财税扶持、政府购买服务等方面执行相同政策。充分发挥村（居）民委员会、基层医疗卫生机构、公益慈善组织和残疾人专职委员、社会工作者、志愿服务人员等作用，做好发现告知、协助申请、志愿服务等工作。</w:t>
      </w:r>
    </w:p>
    <w:p>
      <w:pPr>
        <w:pStyle w:val="5"/>
        <w:widowControl/>
        <w:spacing w:beforeAutospacing="0" w:afterAutospacing="0" w:line="600" w:lineRule="exact"/>
        <w:ind w:firstLine="640"/>
        <w:jc w:val="both"/>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（三）加强综合监管</w:t>
      </w:r>
    </w:p>
    <w:p>
      <w:pPr>
        <w:pStyle w:val="5"/>
        <w:widowControl/>
        <w:spacing w:beforeAutospacing="0" w:afterAutospacing="0" w:line="600" w:lineRule="exact"/>
        <w:ind w:firstLine="64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1、完善协作监管机制。</w:t>
      </w:r>
      <w:r>
        <w:rPr>
          <w:rFonts w:hint="eastAsia" w:ascii="仿宋_GB2312" w:hAnsi="仿宋_GB2312" w:eastAsia="仿宋_GB2312" w:cs="仿宋_GB2312"/>
          <w:sz w:val="32"/>
          <w:szCs w:val="40"/>
          <w:highlight w:val="none"/>
          <w:lang w:val="en-US" w:eastAsia="zh-CN"/>
        </w:rPr>
        <w:t>教育、民政、卫生健康、市场监管等有关部门和残联组织要按照各自职责完善残疾儿童定点康复服务机构管理相关政策，共同做好残疾儿童定点康复服务机构监督管理。</w:t>
      </w:r>
    </w:p>
    <w:p>
      <w:pPr>
        <w:spacing w:line="600" w:lineRule="exact"/>
        <w:ind w:firstLine="642" w:firstLineChars="200"/>
        <w:rPr>
          <w:rFonts w:ascii="??_GB2312" w:hAnsi="仿宋" w:eastAsia="Times New Roman" w:cs="仿宋"/>
          <w:color w:val="000000"/>
          <w:sz w:val="32"/>
          <w:szCs w:val="32"/>
          <w:highlight w:val="none"/>
        </w:rPr>
      </w:pPr>
      <w:r>
        <w:rPr>
          <w:rFonts w:hint="eastAsia" w:ascii="仿宋_GB2312" w:hAnsi="仿宋_GB2312" w:eastAsia="仿宋_GB2312" w:cs="仿宋_GB2312"/>
          <w:b/>
          <w:bCs/>
          <w:kern w:val="0"/>
          <w:sz w:val="32"/>
          <w:szCs w:val="40"/>
          <w:highlight w:val="none"/>
          <w:lang w:val="en-US" w:eastAsia="zh-CN" w:bidi="ar-SA"/>
        </w:rPr>
        <w:t>2、建立定期检查综合评估机制。</w:t>
      </w:r>
      <w:r>
        <w:rPr>
          <w:rFonts w:hint="eastAsia" w:ascii="仿宋_GB2312" w:hAnsi="仿宋_GB2312" w:eastAsia="仿宋_GB2312" w:cs="仿宋_GB2312"/>
          <w:kern w:val="0"/>
          <w:sz w:val="32"/>
          <w:szCs w:val="40"/>
          <w:highlight w:val="none"/>
          <w:lang w:val="en-US" w:eastAsia="zh-CN" w:bidi="ar-SA"/>
        </w:rPr>
        <w:t>残联组织和教育、民政、卫生健康、市场监管等部门指导残疾儿童定点康复服务机构规范内部管理、改善服务质量、加强风险防控，及时查处违法违规行为和安全责任事故，确保残疾儿童人身安全。</w:t>
      </w:r>
    </w:p>
    <w:p>
      <w:pPr>
        <w:spacing w:line="600" w:lineRule="exact"/>
        <w:ind w:firstLine="642" w:firstLineChars="200"/>
        <w:rPr>
          <w:rFonts w:ascii="??_GB2312" w:hAnsi="Segoe UI" w:eastAsia="Times New Roman" w:cs="Segoe UI"/>
          <w:color w:val="000000"/>
          <w:sz w:val="24"/>
          <w:highlight w:val="none"/>
        </w:rPr>
      </w:pPr>
      <w:r>
        <w:rPr>
          <w:rFonts w:hint="eastAsia" w:ascii="仿宋_GB2312" w:hAnsi="仿宋_GB2312" w:eastAsia="仿宋_GB2312" w:cs="仿宋_GB2312"/>
          <w:b/>
          <w:bCs/>
          <w:kern w:val="0"/>
          <w:sz w:val="32"/>
          <w:szCs w:val="40"/>
          <w:highlight w:val="none"/>
          <w:lang w:val="en-US" w:eastAsia="zh-CN" w:bidi="ar-SA"/>
        </w:rPr>
        <w:t>3、建立联合惩戒机制。</w:t>
      </w:r>
      <w:r>
        <w:rPr>
          <w:rFonts w:hint="eastAsia" w:ascii="仿宋_GB2312" w:hAnsi="仿宋_GB2312" w:eastAsia="仿宋_GB2312" w:cs="仿宋_GB2312"/>
          <w:kern w:val="0"/>
          <w:sz w:val="32"/>
          <w:szCs w:val="40"/>
          <w:highlight w:val="none"/>
          <w:lang w:val="en-US" w:eastAsia="zh-CN" w:bidi="ar-SA"/>
        </w:rPr>
        <w:t>残联组织和民政、卫生健康等部门要建立覆盖残疾儿童定点康复服务机构、从业人员和救助对象家庭的诚信评价和失信行为联合惩戒机制，建立黑名单制度，做好公共信用信息记录和归集工作，加强与省信用信息共享平台、国家企业信用信息公示系统（黑龙江）的信息交换共享；积极培育和发展康复服务行业协会，发挥行业自律作用。</w:t>
      </w:r>
    </w:p>
    <w:p>
      <w:pPr>
        <w:spacing w:line="600" w:lineRule="exact"/>
        <w:ind w:firstLine="642" w:firstLineChars="200"/>
        <w:rPr>
          <w:rFonts w:ascii="??_GB2312" w:hAnsi="仿宋" w:eastAsia="Times New Roman" w:cs="仿宋"/>
          <w:color w:val="000000"/>
          <w:sz w:val="32"/>
          <w:szCs w:val="32"/>
          <w:highlight w:val="none"/>
        </w:rPr>
      </w:pPr>
      <w:r>
        <w:rPr>
          <w:rFonts w:hint="eastAsia" w:ascii="仿宋_GB2312" w:hAnsi="仿宋_GB2312" w:eastAsia="仿宋_GB2312" w:cs="仿宋_GB2312"/>
          <w:b/>
          <w:bCs/>
          <w:kern w:val="0"/>
          <w:sz w:val="32"/>
          <w:szCs w:val="40"/>
          <w:highlight w:val="none"/>
          <w:lang w:val="en-US" w:eastAsia="zh-CN" w:bidi="ar-SA"/>
        </w:rPr>
        <w:t>4、建立监督检查机制。</w:t>
      </w:r>
      <w:r>
        <w:rPr>
          <w:rFonts w:hint="eastAsia" w:ascii="仿宋_GB2312" w:hAnsi="仿宋_GB2312" w:eastAsia="仿宋_GB2312" w:cs="仿宋_GB2312"/>
          <w:kern w:val="0"/>
          <w:sz w:val="32"/>
          <w:szCs w:val="40"/>
          <w:highlight w:val="none"/>
          <w:lang w:val="en-US" w:eastAsia="zh-CN" w:bidi="ar-SA"/>
        </w:rPr>
        <w:t>财政、审计等部门要加强对残疾儿童康复救助资金管理使用情况的监督检查，防止发生挤占、挪用、套取等违法违规现象。残疾儿童康复救助实施和资金筹集使用情况要定期向社会公开，接受社会监督。</w:t>
      </w:r>
    </w:p>
    <w:p>
      <w:pPr>
        <w:pStyle w:val="5"/>
        <w:widowControl/>
        <w:spacing w:beforeAutospacing="0" w:afterAutospacing="0" w:line="600" w:lineRule="exact"/>
        <w:ind w:firstLine="640"/>
        <w:jc w:val="both"/>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（四）加强宣传动员</w:t>
      </w:r>
    </w:p>
    <w:p>
      <w:pPr>
        <w:spacing w:line="600" w:lineRule="exact"/>
        <w:ind w:firstLine="640" w:firstLineChars="200"/>
        <w:rPr>
          <w:rFonts w:hint="eastAsia" w:ascii="仿宋_GB2312" w:hAnsi="仿宋_GB2312" w:eastAsia="仿宋_GB2312" w:cs="仿宋_GB2312"/>
          <w:kern w:val="0"/>
          <w:sz w:val="32"/>
          <w:szCs w:val="40"/>
          <w:highlight w:val="none"/>
          <w:lang w:val="en-US" w:eastAsia="zh-CN" w:bidi="ar-SA"/>
        </w:rPr>
      </w:pPr>
      <w:r>
        <w:rPr>
          <w:rFonts w:hint="eastAsia" w:ascii="仿宋_GB2312" w:hAnsi="仿宋_GB2312" w:eastAsia="仿宋_GB2312" w:cs="仿宋_GB2312"/>
          <w:kern w:val="0"/>
          <w:sz w:val="32"/>
          <w:szCs w:val="40"/>
          <w:highlight w:val="none"/>
          <w:lang w:val="en-US" w:eastAsia="zh-CN" w:bidi="ar-SA"/>
        </w:rPr>
        <w:t>市政府、有关部门和单位要加大残疾预防和残疾儿童康复救助政策的宣传力度，充分利用报纸、广播、电视等传统媒体和公益短信、微信、微博、网络等新媒体，开展形式多样的残疾儿童康复救助制度政策解读和宣传教育，增强政府主导、全民关爱的责任意识，积极引导全社会增强残疾预防和康复意识，帮助残疾儿童监护人准确知晓残疾儿童康复救助制度相关内容。建立健全舆情监测预警和应对机制，理性引导社会舆论和家庭预期，及时回应社会关切，宣传报道先进事迹，营造关心、支持残疾儿童康复工作的良好社会氛围。</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jc w:val="both"/>
        <w:rPr>
          <w:rFonts w:ascii="??_GB2312" w:hAnsi="仿宋" w:eastAsia="Times New Roman" w:cs="仿宋"/>
          <w:color w:val="000000"/>
          <w:sz w:val="32"/>
          <w:szCs w:val="32"/>
          <w:highlight w:val="none"/>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rPr>
          <w:rFonts w:ascii="??_GB2312" w:hAnsi="仿宋" w:eastAsia="Times New Roman" w:cs="仿宋"/>
          <w:color w:val="000000"/>
          <w:sz w:val="32"/>
          <w:szCs w:val="32"/>
          <w:highlight w:val="none"/>
        </w:rPr>
      </w:pPr>
      <w:r>
        <w:rPr>
          <w:rFonts w:hint="eastAsia" w:ascii="仿宋_GB2312" w:hAnsi="仿宋_GB2312" w:eastAsia="仿宋_GB2312" w:cs="仿宋_GB2312"/>
          <w:kern w:val="0"/>
          <w:sz w:val="32"/>
          <w:szCs w:val="40"/>
          <w:highlight w:val="none"/>
          <w:lang w:val="en-US" w:eastAsia="zh-CN" w:bidi="ar-SA"/>
        </w:rPr>
        <w:t>附件：密山市0-8岁残疾儿童康复服务救助补助标准</w:t>
      </w:r>
    </w:p>
    <w:p>
      <w:pPr>
        <w:keepNext w:val="0"/>
        <w:keepLines w:val="0"/>
        <w:pageBreakBefore w:val="0"/>
        <w:kinsoku/>
        <w:wordWrap/>
        <w:overflowPunct/>
        <w:topLinePunct w:val="0"/>
        <w:autoSpaceDE/>
        <w:autoSpaceDN/>
        <w:bidi w:val="0"/>
        <w:adjustRightInd/>
        <w:snapToGrid/>
        <w:spacing w:line="580" w:lineRule="exact"/>
        <w:rPr>
          <w:rFonts w:ascii="??_GB2312" w:hAnsi="仿宋" w:eastAsia="Times New Roman" w:cs="仿宋"/>
          <w:color w:val="000000"/>
          <w:sz w:val="32"/>
          <w:szCs w:val="32"/>
          <w:highlight w:val="none"/>
        </w:rPr>
      </w:pPr>
    </w:p>
    <w:p>
      <w:pPr>
        <w:keepNext w:val="0"/>
        <w:keepLines w:val="0"/>
        <w:pageBreakBefore w:val="0"/>
        <w:kinsoku/>
        <w:wordWrap/>
        <w:overflowPunct/>
        <w:topLinePunct w:val="0"/>
        <w:autoSpaceDE/>
        <w:autoSpaceDN/>
        <w:bidi w:val="0"/>
        <w:adjustRightInd/>
        <w:snapToGrid/>
        <w:spacing w:line="580" w:lineRule="exact"/>
        <w:rPr>
          <w:rFonts w:ascii="??_GB2312" w:hAnsi="仿宋" w:eastAsia="Times New Roman" w:cs="仿宋"/>
          <w:color w:val="000000"/>
          <w:sz w:val="32"/>
          <w:szCs w:val="32"/>
          <w:highlight w:val="none"/>
        </w:rPr>
      </w:pPr>
    </w:p>
    <w:p>
      <w:pPr>
        <w:keepNext w:val="0"/>
        <w:keepLines w:val="0"/>
        <w:pageBreakBefore w:val="0"/>
        <w:kinsoku/>
        <w:wordWrap/>
        <w:overflowPunct/>
        <w:topLinePunct w:val="0"/>
        <w:autoSpaceDE/>
        <w:autoSpaceDN/>
        <w:bidi w:val="0"/>
        <w:adjustRightInd/>
        <w:snapToGrid/>
        <w:spacing w:line="580" w:lineRule="exact"/>
        <w:rPr>
          <w:rFonts w:ascii="??_GB2312" w:hAnsi="仿宋" w:eastAsia="Times New Roman" w:cs="仿宋"/>
          <w:color w:val="000000"/>
          <w:sz w:val="32"/>
          <w:szCs w:val="32"/>
          <w:highlight w:val="none"/>
        </w:rPr>
      </w:pPr>
    </w:p>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color w:val="000000"/>
          <w:sz w:val="32"/>
          <w:szCs w:val="32"/>
          <w:highlight w:val="none"/>
          <w:lang w:val="en-US" w:eastAsia="zh-CN"/>
        </w:rPr>
      </w:pPr>
      <w:r>
        <w:rPr>
          <w:rFonts w:hint="eastAsia" w:ascii="??_GB2312" w:hAnsi="仿宋" w:cs="仿宋"/>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密山市人民政府</w:t>
      </w:r>
    </w:p>
    <w:p>
      <w:pPr>
        <w:keepNext w:val="0"/>
        <w:keepLines w:val="0"/>
        <w:pageBreakBefore w:val="0"/>
        <w:kinsoku/>
        <w:wordWrap/>
        <w:overflowPunct/>
        <w:topLinePunct w:val="0"/>
        <w:autoSpaceDE/>
        <w:autoSpaceDN/>
        <w:bidi w:val="0"/>
        <w:adjustRightInd/>
        <w:snapToGrid/>
        <w:spacing w:line="580" w:lineRule="exact"/>
        <w:jc w:val="right"/>
        <w:rPr>
          <w:rFonts w:hint="default" w:ascii="??_GB2312" w:hAnsi="仿宋" w:cs="仿宋"/>
          <w:color w:val="000000"/>
          <w:sz w:val="32"/>
          <w:szCs w:val="32"/>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2"/>
          <w:szCs w:val="32"/>
          <w:highlight w:val="none"/>
          <w:lang w:val="en-US" w:eastAsia="zh-CN"/>
        </w:rPr>
        <w:t>2025年3月20日</w:t>
      </w:r>
    </w:p>
    <w:tbl>
      <w:tblPr>
        <w:tblStyle w:val="6"/>
        <w:tblW w:w="13944" w:type="dxa"/>
        <w:tblInd w:w="0" w:type="dxa"/>
        <w:tblLayout w:type="fixed"/>
        <w:tblCellMar>
          <w:top w:w="15" w:type="dxa"/>
          <w:left w:w="15" w:type="dxa"/>
          <w:bottom w:w="15" w:type="dxa"/>
          <w:right w:w="15" w:type="dxa"/>
        </w:tblCellMar>
      </w:tblPr>
      <w:tblGrid>
        <w:gridCol w:w="932"/>
        <w:gridCol w:w="2275"/>
        <w:gridCol w:w="7100"/>
        <w:gridCol w:w="3637"/>
      </w:tblGrid>
      <w:tr>
        <w:tblPrEx>
          <w:tblCellMar>
            <w:top w:w="15" w:type="dxa"/>
            <w:left w:w="15" w:type="dxa"/>
            <w:bottom w:w="15" w:type="dxa"/>
            <w:right w:w="15" w:type="dxa"/>
          </w:tblCellMar>
        </w:tblPrEx>
        <w:trPr>
          <w:trHeight w:val="540" w:hRule="atLeast"/>
        </w:trPr>
        <w:tc>
          <w:tcPr>
            <w:tcW w:w="13944" w:type="dxa"/>
            <w:gridSpan w:val="4"/>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宋体" w:cs="宋体"/>
                <w:b/>
                <w:color w:val="000000"/>
                <w:sz w:val="44"/>
                <w:szCs w:val="44"/>
                <w:highlight w:val="none"/>
              </w:rPr>
            </w:pPr>
            <w:r>
              <w:rPr>
                <w:rFonts w:hint="eastAsia" w:ascii="宋体" w:hAnsi="宋体" w:cs="宋体"/>
                <w:b/>
                <w:color w:val="000000"/>
                <w:kern w:val="0"/>
                <w:sz w:val="44"/>
                <w:szCs w:val="44"/>
                <w:highlight w:val="none"/>
                <w:lang w:val="en-US" w:eastAsia="zh-CN"/>
              </w:rPr>
              <w:t>密山</w:t>
            </w:r>
            <w:r>
              <w:rPr>
                <w:rFonts w:hint="eastAsia" w:ascii="宋体" w:hAnsi="宋体" w:cs="宋体"/>
                <w:b/>
                <w:color w:val="000000"/>
                <w:kern w:val="0"/>
                <w:sz w:val="44"/>
                <w:szCs w:val="44"/>
                <w:highlight w:val="none"/>
              </w:rPr>
              <w:t>市</w:t>
            </w:r>
            <w:r>
              <w:rPr>
                <w:rFonts w:ascii="宋体" w:cs="宋体"/>
                <w:b/>
                <w:color w:val="000000"/>
                <w:kern w:val="0"/>
                <w:sz w:val="44"/>
                <w:szCs w:val="44"/>
                <w:highlight w:val="none"/>
              </w:rPr>
              <w:t>0</w:t>
            </w:r>
            <w:r>
              <w:rPr>
                <w:rFonts w:ascii="宋体" w:hAnsi="宋体" w:cs="宋体"/>
                <w:b/>
                <w:color w:val="000000"/>
                <w:kern w:val="0"/>
                <w:sz w:val="44"/>
                <w:szCs w:val="44"/>
                <w:highlight w:val="none"/>
              </w:rPr>
              <w:t>—</w:t>
            </w:r>
            <w:r>
              <w:rPr>
                <w:rFonts w:hint="eastAsia" w:ascii="宋体" w:hAnsi="宋体" w:cs="宋体"/>
                <w:b/>
                <w:color w:val="000000"/>
                <w:kern w:val="0"/>
                <w:sz w:val="44"/>
                <w:szCs w:val="44"/>
                <w:highlight w:val="none"/>
                <w:lang w:val="en-US" w:eastAsia="zh-CN"/>
              </w:rPr>
              <w:t>8</w:t>
            </w:r>
            <w:r>
              <w:rPr>
                <w:rFonts w:hint="eastAsia" w:ascii="宋体" w:hAnsi="宋体" w:cs="宋体"/>
                <w:b/>
                <w:color w:val="000000"/>
                <w:kern w:val="0"/>
                <w:sz w:val="44"/>
                <w:szCs w:val="44"/>
                <w:highlight w:val="none"/>
              </w:rPr>
              <w:t>岁残疾儿童康复服务救助补助标准</w:t>
            </w:r>
          </w:p>
        </w:tc>
      </w:tr>
      <w:tr>
        <w:tblPrEx>
          <w:tblCellMar>
            <w:top w:w="15" w:type="dxa"/>
            <w:left w:w="15" w:type="dxa"/>
            <w:bottom w:w="15" w:type="dxa"/>
            <w:right w:w="15" w:type="dxa"/>
          </w:tblCellMar>
        </w:tblPrEx>
        <w:trPr>
          <w:trHeight w:val="286" w:hRule="atLeast"/>
        </w:trPr>
        <w:tc>
          <w:tcPr>
            <w:tcW w:w="932"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rPr>
                <w:rFonts w:ascii="宋体" w:cs="宋体"/>
                <w:color w:val="000000"/>
                <w:sz w:val="22"/>
                <w:szCs w:val="22"/>
                <w:highlight w:val="none"/>
              </w:rPr>
            </w:pPr>
          </w:p>
        </w:tc>
        <w:tc>
          <w:tcPr>
            <w:tcW w:w="2275"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rPr>
                <w:rFonts w:ascii="宋体" w:cs="宋体"/>
                <w:color w:val="000000"/>
                <w:sz w:val="22"/>
                <w:szCs w:val="22"/>
                <w:highlight w:val="none"/>
              </w:rPr>
            </w:pPr>
          </w:p>
        </w:tc>
        <w:tc>
          <w:tcPr>
            <w:tcW w:w="10737"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rPr>
                <w:rFonts w:ascii="宋体" w:cs="宋体"/>
                <w:color w:val="000000"/>
                <w:sz w:val="22"/>
                <w:szCs w:val="22"/>
                <w:highlight w:val="none"/>
              </w:rPr>
            </w:pPr>
          </w:p>
        </w:tc>
      </w:tr>
      <w:tr>
        <w:tblPrEx>
          <w:tblCellMar>
            <w:top w:w="15" w:type="dxa"/>
            <w:left w:w="15" w:type="dxa"/>
            <w:bottom w:w="15" w:type="dxa"/>
            <w:right w:w="15" w:type="dxa"/>
          </w:tblCellMar>
        </w:tblPrEx>
        <w:trPr>
          <w:trHeight w:val="680" w:hRule="atLeast"/>
        </w:trPr>
        <w:tc>
          <w:tcPr>
            <w:tcW w:w="932"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黑体" w:hAnsi="黑体" w:eastAsia="黑体" w:cs="黑体"/>
                <w:b/>
                <w:color w:val="000000"/>
                <w:sz w:val="32"/>
                <w:szCs w:val="32"/>
                <w:highlight w:val="none"/>
              </w:rPr>
            </w:pPr>
            <w:r>
              <w:rPr>
                <w:rFonts w:hint="eastAsia" w:ascii="黑体" w:hAnsi="黑体" w:eastAsia="黑体" w:cs="黑体"/>
                <w:b/>
                <w:color w:val="000000"/>
                <w:kern w:val="0"/>
                <w:sz w:val="32"/>
                <w:szCs w:val="32"/>
                <w:highlight w:val="none"/>
              </w:rPr>
              <w:t>序号</w:t>
            </w:r>
          </w:p>
        </w:tc>
        <w:tc>
          <w:tcPr>
            <w:tcW w:w="227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黑体" w:hAnsi="黑体" w:eastAsia="黑体" w:cs="黑体"/>
                <w:b/>
                <w:color w:val="000000"/>
                <w:sz w:val="32"/>
                <w:szCs w:val="32"/>
                <w:highlight w:val="none"/>
              </w:rPr>
            </w:pPr>
            <w:r>
              <w:rPr>
                <w:rFonts w:hint="eastAsia" w:ascii="黑体" w:hAnsi="黑体" w:eastAsia="黑体" w:cs="黑体"/>
                <w:b/>
                <w:color w:val="000000"/>
                <w:kern w:val="0"/>
                <w:sz w:val="32"/>
                <w:szCs w:val="32"/>
                <w:highlight w:val="none"/>
              </w:rPr>
              <w:t>项目内容</w:t>
            </w:r>
          </w:p>
        </w:tc>
        <w:tc>
          <w:tcPr>
            <w:tcW w:w="710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黑体" w:hAnsi="黑体" w:eastAsia="黑体" w:cs="黑体"/>
                <w:b/>
                <w:color w:val="000000"/>
                <w:sz w:val="32"/>
                <w:szCs w:val="32"/>
                <w:highlight w:val="none"/>
              </w:rPr>
            </w:pPr>
            <w:r>
              <w:rPr>
                <w:rFonts w:hint="eastAsia" w:ascii="黑体" w:hAnsi="黑体" w:eastAsia="黑体" w:cs="黑体"/>
                <w:b/>
                <w:color w:val="000000"/>
                <w:kern w:val="0"/>
                <w:sz w:val="32"/>
                <w:szCs w:val="32"/>
                <w:highlight w:val="none"/>
              </w:rPr>
              <w:t>补助标准</w:t>
            </w:r>
          </w:p>
        </w:tc>
        <w:tc>
          <w:tcPr>
            <w:tcW w:w="3637"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黑体" w:hAnsi="黑体" w:eastAsia="黑体" w:cs="黑体"/>
                <w:b/>
                <w:color w:val="000000"/>
                <w:kern w:val="0"/>
                <w:sz w:val="32"/>
                <w:szCs w:val="32"/>
                <w:highlight w:val="none"/>
              </w:rPr>
            </w:pPr>
            <w:r>
              <w:rPr>
                <w:rFonts w:hint="eastAsia" w:ascii="黑体" w:hAnsi="黑体" w:eastAsia="黑体" w:cs="黑体"/>
                <w:b/>
                <w:color w:val="000000"/>
                <w:kern w:val="0"/>
                <w:sz w:val="32"/>
                <w:szCs w:val="32"/>
                <w:highlight w:val="none"/>
              </w:rPr>
              <w:t>备注</w:t>
            </w:r>
          </w:p>
        </w:tc>
      </w:tr>
      <w:tr>
        <w:tblPrEx>
          <w:tblCellMar>
            <w:top w:w="15" w:type="dxa"/>
            <w:left w:w="15" w:type="dxa"/>
            <w:bottom w:w="15" w:type="dxa"/>
            <w:right w:w="15" w:type="dxa"/>
          </w:tblCellMar>
        </w:tblPrEx>
        <w:trPr>
          <w:trHeight w:val="687"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仿宋" w:hAnsi="仿宋" w:eastAsia="仿宋" w:cs="仿宋"/>
                <w:color w:val="000000"/>
                <w:sz w:val="28"/>
                <w:szCs w:val="28"/>
                <w:highlight w:val="none"/>
              </w:rPr>
            </w:pPr>
            <w:r>
              <w:rPr>
                <w:rFonts w:ascii="仿宋" w:hAnsi="仿宋" w:eastAsia="仿宋" w:cs="仿宋"/>
                <w:color w:val="000000"/>
                <w:kern w:val="0"/>
                <w:sz w:val="28"/>
                <w:szCs w:val="28"/>
                <w:highlight w:val="none"/>
              </w:rPr>
              <w:t>1</w:t>
            </w:r>
          </w:p>
        </w:tc>
        <w:tc>
          <w:tcPr>
            <w:tcW w:w="2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rPr>
              <w:t>聋儿人工耳蜗</w:t>
            </w:r>
          </w:p>
        </w:tc>
        <w:tc>
          <w:tcPr>
            <w:tcW w:w="71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top"/>
              <w:rPr>
                <w:rFonts w:ascii="仿宋" w:hAnsi="仿宋" w:eastAsia="仿宋" w:cs="仿宋"/>
                <w:color w:val="000000"/>
                <w:sz w:val="28"/>
                <w:szCs w:val="28"/>
                <w:highlight w:val="none"/>
              </w:rPr>
            </w:pPr>
            <w:r>
              <w:rPr>
                <w:rFonts w:ascii="仿宋" w:hAnsi="仿宋" w:eastAsia="仿宋" w:cs="仿宋"/>
                <w:color w:val="000000"/>
                <w:kern w:val="0"/>
                <w:sz w:val="28"/>
                <w:szCs w:val="28"/>
                <w:highlight w:val="none"/>
              </w:rPr>
              <w:t>7.5</w:t>
            </w:r>
            <w:r>
              <w:rPr>
                <w:rFonts w:hint="eastAsia" w:ascii="仿宋" w:hAnsi="仿宋" w:eastAsia="仿宋" w:cs="仿宋"/>
                <w:color w:val="000000"/>
                <w:kern w:val="0"/>
                <w:sz w:val="28"/>
                <w:szCs w:val="28"/>
                <w:highlight w:val="none"/>
              </w:rPr>
              <w:t>万元。其中：人工耳蜗产品采购</w:t>
            </w:r>
            <w:r>
              <w:rPr>
                <w:rFonts w:ascii="仿宋" w:hAnsi="仿宋" w:eastAsia="仿宋" w:cs="仿宋"/>
                <w:color w:val="000000"/>
                <w:kern w:val="0"/>
                <w:sz w:val="28"/>
                <w:szCs w:val="28"/>
                <w:highlight w:val="none"/>
              </w:rPr>
              <w:t>4.5</w:t>
            </w:r>
            <w:r>
              <w:rPr>
                <w:rFonts w:hint="eastAsia" w:ascii="仿宋" w:hAnsi="仿宋" w:eastAsia="仿宋" w:cs="仿宋"/>
                <w:color w:val="000000"/>
                <w:kern w:val="0"/>
                <w:sz w:val="28"/>
                <w:szCs w:val="28"/>
                <w:highlight w:val="none"/>
              </w:rPr>
              <w:t>万元，手术费</w:t>
            </w:r>
            <w:r>
              <w:rPr>
                <w:rFonts w:ascii="仿宋" w:hAnsi="仿宋" w:eastAsia="仿宋" w:cs="仿宋"/>
                <w:color w:val="000000"/>
                <w:kern w:val="0"/>
                <w:sz w:val="28"/>
                <w:szCs w:val="28"/>
                <w:highlight w:val="none"/>
              </w:rPr>
              <w:t>1.2</w:t>
            </w:r>
            <w:r>
              <w:rPr>
                <w:rFonts w:hint="eastAsia" w:ascii="仿宋" w:hAnsi="仿宋" w:eastAsia="仿宋" w:cs="仿宋"/>
                <w:color w:val="000000"/>
                <w:kern w:val="0"/>
                <w:sz w:val="28"/>
                <w:szCs w:val="28"/>
                <w:highlight w:val="none"/>
              </w:rPr>
              <w:t>万元、康复训练费</w:t>
            </w:r>
            <w:r>
              <w:rPr>
                <w:rFonts w:ascii="仿宋" w:hAnsi="仿宋" w:eastAsia="仿宋" w:cs="仿宋"/>
                <w:color w:val="000000"/>
                <w:kern w:val="0"/>
                <w:sz w:val="28"/>
                <w:szCs w:val="28"/>
                <w:highlight w:val="none"/>
              </w:rPr>
              <w:t>1.8</w:t>
            </w:r>
            <w:r>
              <w:rPr>
                <w:rFonts w:hint="eastAsia" w:ascii="仿宋" w:hAnsi="仿宋" w:eastAsia="仿宋" w:cs="仿宋"/>
                <w:color w:val="000000"/>
                <w:kern w:val="0"/>
                <w:sz w:val="28"/>
                <w:szCs w:val="28"/>
                <w:highlight w:val="none"/>
              </w:rPr>
              <w:t>万元</w:t>
            </w:r>
            <w:r>
              <w:rPr>
                <w:rFonts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rPr>
              <w:t>年（</w:t>
            </w:r>
            <w:r>
              <w:rPr>
                <w:rFonts w:ascii="仿宋" w:hAnsi="仿宋" w:eastAsia="仿宋" w:cs="仿宋"/>
                <w:color w:val="000000"/>
                <w:kern w:val="0"/>
                <w:sz w:val="28"/>
                <w:szCs w:val="28"/>
                <w:highlight w:val="none"/>
              </w:rPr>
              <w:t>10</w:t>
            </w:r>
            <w:r>
              <w:rPr>
                <w:rFonts w:hint="eastAsia" w:ascii="仿宋" w:hAnsi="仿宋" w:eastAsia="仿宋" w:cs="仿宋"/>
                <w:color w:val="000000"/>
                <w:kern w:val="0"/>
                <w:sz w:val="28"/>
                <w:szCs w:val="28"/>
                <w:highlight w:val="none"/>
              </w:rPr>
              <w:t>个月）。</w:t>
            </w:r>
          </w:p>
        </w:tc>
        <w:tc>
          <w:tcPr>
            <w:tcW w:w="363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top"/>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耳蜗产品及手术一次性救助。</w:t>
            </w:r>
          </w:p>
          <w:p>
            <w:pPr>
              <w:keepNext w:val="0"/>
              <w:keepLines w:val="0"/>
              <w:pageBreakBefore w:val="0"/>
              <w:widowControl/>
              <w:kinsoku/>
              <w:wordWrap/>
              <w:overflowPunct/>
              <w:topLinePunct w:val="0"/>
              <w:autoSpaceDE/>
              <w:autoSpaceDN/>
              <w:bidi w:val="0"/>
              <w:adjustRightInd/>
              <w:snapToGrid/>
              <w:spacing w:line="580" w:lineRule="exact"/>
              <w:textAlignment w:val="top"/>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康复训练</w:t>
            </w:r>
            <w:r>
              <w:rPr>
                <w:rFonts w:ascii="仿宋" w:hAnsi="仿宋" w:eastAsia="仿宋" w:cs="仿宋"/>
                <w:color w:val="000000"/>
                <w:kern w:val="0"/>
                <w:sz w:val="28"/>
                <w:szCs w:val="28"/>
                <w:highlight w:val="none"/>
              </w:rPr>
              <w:t>0-</w:t>
            </w:r>
            <w:r>
              <w:rPr>
                <w:rFonts w:hint="eastAsia" w:ascii="仿宋" w:hAnsi="仿宋" w:eastAsia="仿宋" w:cs="仿宋"/>
                <w:color w:val="000000"/>
                <w:kern w:val="0"/>
                <w:sz w:val="28"/>
                <w:szCs w:val="28"/>
                <w:highlight w:val="none"/>
                <w:lang w:val="en-US" w:eastAsia="zh-CN"/>
              </w:rPr>
              <w:t>8</w:t>
            </w:r>
            <w:r>
              <w:rPr>
                <w:rFonts w:hint="eastAsia" w:ascii="仿宋" w:hAnsi="仿宋" w:eastAsia="仿宋" w:cs="仿宋"/>
                <w:color w:val="000000"/>
                <w:kern w:val="0"/>
                <w:sz w:val="28"/>
                <w:szCs w:val="28"/>
                <w:highlight w:val="none"/>
              </w:rPr>
              <w:t>岁年龄段内可连续救助。</w:t>
            </w:r>
          </w:p>
        </w:tc>
      </w:tr>
      <w:tr>
        <w:tblPrEx>
          <w:tblCellMar>
            <w:top w:w="15" w:type="dxa"/>
            <w:left w:w="15" w:type="dxa"/>
            <w:bottom w:w="15" w:type="dxa"/>
            <w:right w:w="15" w:type="dxa"/>
          </w:tblCellMar>
        </w:tblPrEx>
        <w:trPr>
          <w:trHeight w:val="500" w:hRule="atLeast"/>
        </w:trPr>
        <w:tc>
          <w:tcPr>
            <w:tcW w:w="9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仿宋" w:hAnsi="仿宋" w:eastAsia="仿宋" w:cs="仿宋"/>
                <w:color w:val="000000"/>
                <w:sz w:val="28"/>
                <w:szCs w:val="28"/>
                <w:highlight w:val="none"/>
              </w:rPr>
            </w:pPr>
            <w:r>
              <w:rPr>
                <w:rFonts w:ascii="仿宋" w:hAnsi="仿宋" w:eastAsia="仿宋" w:cs="仿宋"/>
                <w:color w:val="000000"/>
                <w:kern w:val="0"/>
                <w:sz w:val="28"/>
                <w:szCs w:val="28"/>
                <w:highlight w:val="none"/>
              </w:rPr>
              <w:t>2</w:t>
            </w:r>
          </w:p>
        </w:tc>
        <w:tc>
          <w:tcPr>
            <w:tcW w:w="22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rPr>
              <w:t>聋儿助听器</w:t>
            </w:r>
          </w:p>
        </w:tc>
        <w:tc>
          <w:tcPr>
            <w:tcW w:w="7100" w:type="dxa"/>
            <w:vMerge w:val="restart"/>
            <w:tcBorders>
              <w:top w:val="single" w:color="000000" w:sz="4" w:space="0"/>
              <w:left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top"/>
              <w:rPr>
                <w:rFonts w:ascii="仿宋" w:hAnsi="仿宋" w:eastAsia="仿宋" w:cs="仿宋"/>
                <w:color w:val="000000"/>
                <w:sz w:val="28"/>
                <w:szCs w:val="28"/>
                <w:highlight w:val="none"/>
              </w:rPr>
            </w:pPr>
            <w:r>
              <w:rPr>
                <w:rFonts w:ascii="仿宋" w:hAnsi="仿宋" w:eastAsia="仿宋" w:cs="仿宋"/>
                <w:color w:val="000000"/>
                <w:kern w:val="0"/>
                <w:sz w:val="28"/>
                <w:szCs w:val="28"/>
                <w:highlight w:val="none"/>
              </w:rPr>
              <w:t>2.16</w:t>
            </w:r>
            <w:r>
              <w:rPr>
                <w:rFonts w:hint="eastAsia" w:ascii="仿宋" w:hAnsi="仿宋" w:eastAsia="仿宋" w:cs="仿宋"/>
                <w:color w:val="000000"/>
                <w:kern w:val="0"/>
                <w:sz w:val="28"/>
                <w:szCs w:val="28"/>
                <w:highlight w:val="none"/>
              </w:rPr>
              <w:t>万元。其中：助听器产品采购</w:t>
            </w:r>
            <w:r>
              <w:rPr>
                <w:rFonts w:ascii="仿宋" w:hAnsi="仿宋" w:eastAsia="仿宋" w:cs="仿宋"/>
                <w:color w:val="000000"/>
                <w:kern w:val="0"/>
                <w:sz w:val="28"/>
                <w:szCs w:val="28"/>
                <w:highlight w:val="none"/>
              </w:rPr>
              <w:t>0.24</w:t>
            </w:r>
            <w:r>
              <w:rPr>
                <w:rFonts w:hint="eastAsia" w:ascii="仿宋" w:hAnsi="仿宋" w:eastAsia="仿宋" w:cs="仿宋"/>
                <w:color w:val="000000"/>
                <w:kern w:val="0"/>
                <w:sz w:val="28"/>
                <w:szCs w:val="28"/>
                <w:highlight w:val="none"/>
              </w:rPr>
              <w:t>万元，验配费</w:t>
            </w:r>
            <w:r>
              <w:rPr>
                <w:rFonts w:ascii="仿宋" w:hAnsi="仿宋" w:eastAsia="仿宋" w:cs="仿宋"/>
                <w:color w:val="000000"/>
                <w:kern w:val="0"/>
                <w:sz w:val="28"/>
                <w:szCs w:val="28"/>
                <w:highlight w:val="none"/>
              </w:rPr>
              <w:t>0.12</w:t>
            </w:r>
            <w:r>
              <w:rPr>
                <w:rFonts w:hint="eastAsia" w:ascii="仿宋" w:hAnsi="仿宋" w:eastAsia="仿宋" w:cs="仿宋"/>
                <w:color w:val="000000"/>
                <w:kern w:val="0"/>
                <w:sz w:val="28"/>
                <w:szCs w:val="28"/>
                <w:highlight w:val="none"/>
              </w:rPr>
              <w:t>万元，康复训练费</w:t>
            </w:r>
            <w:r>
              <w:rPr>
                <w:rFonts w:ascii="仿宋" w:hAnsi="仿宋" w:eastAsia="仿宋" w:cs="仿宋"/>
                <w:color w:val="000000"/>
                <w:kern w:val="0"/>
                <w:sz w:val="28"/>
                <w:szCs w:val="28"/>
                <w:highlight w:val="none"/>
              </w:rPr>
              <w:t>1.8</w:t>
            </w:r>
            <w:r>
              <w:rPr>
                <w:rFonts w:hint="eastAsia" w:ascii="仿宋" w:hAnsi="仿宋" w:eastAsia="仿宋" w:cs="仿宋"/>
                <w:color w:val="000000"/>
                <w:kern w:val="0"/>
                <w:sz w:val="28"/>
                <w:szCs w:val="28"/>
                <w:highlight w:val="none"/>
              </w:rPr>
              <w:t>万元</w:t>
            </w:r>
            <w:r>
              <w:rPr>
                <w:rFonts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rPr>
              <w:t>年（</w:t>
            </w:r>
            <w:r>
              <w:rPr>
                <w:rFonts w:ascii="仿宋" w:hAnsi="仿宋" w:eastAsia="仿宋" w:cs="仿宋"/>
                <w:color w:val="000000"/>
                <w:kern w:val="0"/>
                <w:sz w:val="28"/>
                <w:szCs w:val="28"/>
                <w:highlight w:val="none"/>
              </w:rPr>
              <w:t>10</w:t>
            </w:r>
            <w:r>
              <w:rPr>
                <w:rFonts w:hint="eastAsia" w:ascii="仿宋" w:hAnsi="仿宋" w:eastAsia="仿宋" w:cs="仿宋"/>
                <w:color w:val="000000"/>
                <w:kern w:val="0"/>
                <w:sz w:val="28"/>
                <w:szCs w:val="28"/>
                <w:highlight w:val="none"/>
              </w:rPr>
              <w:t>个月）。</w:t>
            </w:r>
          </w:p>
        </w:tc>
        <w:tc>
          <w:tcPr>
            <w:tcW w:w="3637"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top"/>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助听器产品一次性救助。</w:t>
            </w:r>
          </w:p>
          <w:p>
            <w:pPr>
              <w:keepNext w:val="0"/>
              <w:keepLines w:val="0"/>
              <w:pageBreakBefore w:val="0"/>
              <w:widowControl/>
              <w:kinsoku/>
              <w:wordWrap/>
              <w:overflowPunct/>
              <w:topLinePunct w:val="0"/>
              <w:autoSpaceDE/>
              <w:autoSpaceDN/>
              <w:bidi w:val="0"/>
              <w:adjustRightInd/>
              <w:snapToGrid/>
              <w:spacing w:line="580" w:lineRule="exact"/>
              <w:textAlignment w:val="top"/>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康复训练</w:t>
            </w:r>
            <w:r>
              <w:rPr>
                <w:rFonts w:ascii="仿宋" w:hAnsi="仿宋" w:eastAsia="仿宋" w:cs="仿宋"/>
                <w:color w:val="000000"/>
                <w:kern w:val="0"/>
                <w:sz w:val="28"/>
                <w:szCs w:val="28"/>
                <w:highlight w:val="none"/>
              </w:rPr>
              <w:t>0-</w:t>
            </w:r>
            <w:r>
              <w:rPr>
                <w:rFonts w:hint="eastAsia" w:ascii="仿宋" w:hAnsi="仿宋" w:eastAsia="仿宋" w:cs="仿宋"/>
                <w:color w:val="000000"/>
                <w:kern w:val="0"/>
                <w:sz w:val="28"/>
                <w:szCs w:val="28"/>
                <w:highlight w:val="none"/>
                <w:lang w:val="en-US" w:eastAsia="zh-CN"/>
              </w:rPr>
              <w:t>8</w:t>
            </w:r>
            <w:r>
              <w:rPr>
                <w:rFonts w:hint="eastAsia" w:ascii="仿宋" w:hAnsi="仿宋" w:eastAsia="仿宋" w:cs="仿宋"/>
                <w:color w:val="000000"/>
                <w:kern w:val="0"/>
                <w:sz w:val="28"/>
                <w:szCs w:val="28"/>
                <w:highlight w:val="none"/>
              </w:rPr>
              <w:t>岁年龄段内可连续救助。</w:t>
            </w:r>
          </w:p>
        </w:tc>
      </w:tr>
      <w:tr>
        <w:tblPrEx>
          <w:tblCellMar>
            <w:top w:w="15" w:type="dxa"/>
            <w:left w:w="15" w:type="dxa"/>
            <w:bottom w:w="15" w:type="dxa"/>
            <w:right w:w="15" w:type="dxa"/>
          </w:tblCellMar>
        </w:tblPrEx>
        <w:trPr>
          <w:trHeight w:val="500" w:hRule="atLeast"/>
        </w:trPr>
        <w:tc>
          <w:tcPr>
            <w:tcW w:w="9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ascii="仿宋" w:hAnsi="仿宋" w:eastAsia="仿宋" w:cs="仿宋"/>
                <w:color w:val="000000"/>
                <w:sz w:val="28"/>
                <w:szCs w:val="28"/>
                <w:highlight w:val="none"/>
              </w:rPr>
            </w:pPr>
          </w:p>
        </w:tc>
        <w:tc>
          <w:tcPr>
            <w:tcW w:w="2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rPr>
                <w:rFonts w:ascii="仿宋" w:hAnsi="仿宋" w:eastAsia="仿宋" w:cs="仿宋"/>
                <w:color w:val="000000"/>
                <w:sz w:val="28"/>
                <w:szCs w:val="28"/>
                <w:highlight w:val="none"/>
              </w:rPr>
            </w:pPr>
          </w:p>
        </w:tc>
        <w:tc>
          <w:tcPr>
            <w:tcW w:w="7100" w:type="dxa"/>
            <w:vMerge w:val="continue"/>
            <w:tcBorders>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rPr>
                <w:rFonts w:ascii="仿宋" w:hAnsi="仿宋" w:eastAsia="仿宋" w:cs="仿宋"/>
                <w:color w:val="000000"/>
                <w:sz w:val="28"/>
                <w:szCs w:val="28"/>
                <w:highlight w:val="none"/>
              </w:rPr>
            </w:pPr>
          </w:p>
        </w:tc>
        <w:tc>
          <w:tcPr>
            <w:tcW w:w="3637" w:type="dxa"/>
            <w:vMerge w:val="continue"/>
            <w:tcBorders>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rPr>
                <w:rFonts w:ascii="仿宋" w:hAnsi="仿宋" w:eastAsia="仿宋" w:cs="仿宋"/>
                <w:color w:val="000000"/>
                <w:sz w:val="28"/>
                <w:szCs w:val="28"/>
                <w:highlight w:val="none"/>
              </w:rPr>
            </w:pPr>
          </w:p>
        </w:tc>
      </w:tr>
      <w:tr>
        <w:tblPrEx>
          <w:tblCellMar>
            <w:top w:w="15" w:type="dxa"/>
            <w:left w:w="15" w:type="dxa"/>
            <w:bottom w:w="15" w:type="dxa"/>
            <w:right w:w="15" w:type="dxa"/>
          </w:tblCellMar>
        </w:tblPrEx>
        <w:trPr>
          <w:trHeight w:val="510" w:hRule="atLeast"/>
        </w:trPr>
        <w:tc>
          <w:tcPr>
            <w:tcW w:w="9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仿宋" w:hAnsi="仿宋" w:eastAsia="仿宋" w:cs="仿宋"/>
                <w:color w:val="000000"/>
                <w:sz w:val="28"/>
                <w:szCs w:val="28"/>
                <w:highlight w:val="none"/>
              </w:rPr>
            </w:pPr>
            <w:r>
              <w:rPr>
                <w:rFonts w:ascii="仿宋" w:hAnsi="仿宋" w:eastAsia="仿宋" w:cs="仿宋"/>
                <w:color w:val="000000"/>
                <w:kern w:val="0"/>
                <w:sz w:val="28"/>
                <w:szCs w:val="28"/>
                <w:highlight w:val="none"/>
              </w:rPr>
              <w:t>3</w:t>
            </w:r>
          </w:p>
        </w:tc>
        <w:tc>
          <w:tcPr>
            <w:tcW w:w="22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rPr>
              <w:t>肢体残疾儿童</w:t>
            </w:r>
          </w:p>
        </w:tc>
        <w:tc>
          <w:tcPr>
            <w:tcW w:w="71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rPr>
              <w:t>康复训练费</w:t>
            </w:r>
            <w:r>
              <w:rPr>
                <w:rFonts w:ascii="仿宋" w:hAnsi="仿宋" w:eastAsia="仿宋" w:cs="仿宋"/>
                <w:color w:val="000000"/>
                <w:kern w:val="0"/>
                <w:sz w:val="28"/>
                <w:szCs w:val="28"/>
                <w:highlight w:val="none"/>
              </w:rPr>
              <w:t>2</w:t>
            </w:r>
            <w:r>
              <w:rPr>
                <w:rFonts w:hint="eastAsia" w:ascii="仿宋" w:hAnsi="仿宋" w:eastAsia="仿宋" w:cs="仿宋"/>
                <w:color w:val="000000"/>
                <w:kern w:val="0"/>
                <w:sz w:val="28"/>
                <w:szCs w:val="28"/>
                <w:highlight w:val="none"/>
              </w:rPr>
              <w:t>万元</w:t>
            </w:r>
            <w:r>
              <w:rPr>
                <w:rFonts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rPr>
              <w:t>年（</w:t>
            </w:r>
            <w:r>
              <w:rPr>
                <w:rFonts w:ascii="仿宋" w:hAnsi="仿宋" w:eastAsia="仿宋" w:cs="仿宋"/>
                <w:color w:val="000000"/>
                <w:kern w:val="0"/>
                <w:sz w:val="28"/>
                <w:szCs w:val="28"/>
                <w:highlight w:val="none"/>
              </w:rPr>
              <w:t>10</w:t>
            </w:r>
            <w:r>
              <w:rPr>
                <w:rFonts w:hint="eastAsia" w:ascii="仿宋" w:hAnsi="仿宋" w:eastAsia="仿宋" w:cs="仿宋"/>
                <w:color w:val="000000"/>
                <w:kern w:val="0"/>
                <w:sz w:val="28"/>
                <w:szCs w:val="28"/>
                <w:highlight w:val="none"/>
              </w:rPr>
              <w:t>个月）。</w:t>
            </w:r>
          </w:p>
        </w:tc>
        <w:tc>
          <w:tcPr>
            <w:tcW w:w="363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康复训练</w:t>
            </w:r>
            <w:r>
              <w:rPr>
                <w:rFonts w:ascii="仿宋" w:hAnsi="仿宋" w:eastAsia="仿宋" w:cs="仿宋"/>
                <w:color w:val="000000"/>
                <w:kern w:val="0"/>
                <w:sz w:val="28"/>
                <w:szCs w:val="28"/>
                <w:highlight w:val="none"/>
              </w:rPr>
              <w:t>0-</w:t>
            </w:r>
            <w:r>
              <w:rPr>
                <w:rFonts w:hint="eastAsia" w:ascii="仿宋" w:hAnsi="仿宋" w:eastAsia="仿宋" w:cs="仿宋"/>
                <w:color w:val="000000"/>
                <w:kern w:val="0"/>
                <w:sz w:val="28"/>
                <w:szCs w:val="28"/>
                <w:highlight w:val="none"/>
                <w:lang w:val="en-US" w:eastAsia="zh-CN"/>
              </w:rPr>
              <w:t>8</w:t>
            </w:r>
            <w:r>
              <w:rPr>
                <w:rFonts w:hint="eastAsia" w:ascii="仿宋" w:hAnsi="仿宋" w:eastAsia="仿宋" w:cs="仿宋"/>
                <w:color w:val="000000"/>
                <w:kern w:val="0"/>
                <w:sz w:val="28"/>
                <w:szCs w:val="28"/>
                <w:highlight w:val="none"/>
              </w:rPr>
              <w:t>岁年龄段内可连续救助。</w:t>
            </w:r>
          </w:p>
        </w:tc>
      </w:tr>
      <w:tr>
        <w:tblPrEx>
          <w:tblCellMar>
            <w:top w:w="15" w:type="dxa"/>
            <w:left w:w="15" w:type="dxa"/>
            <w:bottom w:w="15" w:type="dxa"/>
            <w:right w:w="15" w:type="dxa"/>
          </w:tblCellMar>
        </w:tblPrEx>
        <w:trPr>
          <w:trHeight w:val="645" w:hRule="atLeast"/>
        </w:trPr>
        <w:tc>
          <w:tcPr>
            <w:tcW w:w="9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ascii="仿宋" w:hAnsi="仿宋" w:eastAsia="仿宋" w:cs="仿宋"/>
                <w:color w:val="000000"/>
                <w:sz w:val="28"/>
                <w:szCs w:val="28"/>
                <w:highlight w:val="none"/>
              </w:rPr>
            </w:pPr>
          </w:p>
        </w:tc>
        <w:tc>
          <w:tcPr>
            <w:tcW w:w="2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rPr>
                <w:rFonts w:ascii="仿宋" w:hAnsi="仿宋" w:eastAsia="仿宋" w:cs="仿宋"/>
                <w:color w:val="000000"/>
                <w:sz w:val="28"/>
                <w:szCs w:val="28"/>
                <w:highlight w:val="none"/>
              </w:rPr>
            </w:pPr>
          </w:p>
        </w:tc>
        <w:tc>
          <w:tcPr>
            <w:tcW w:w="71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rPr>
              <w:t>矫治手术</w:t>
            </w:r>
            <w:r>
              <w:rPr>
                <w:rFonts w:ascii="仿宋" w:hAnsi="仿宋" w:eastAsia="仿宋" w:cs="仿宋"/>
                <w:color w:val="000000"/>
                <w:kern w:val="0"/>
                <w:sz w:val="28"/>
                <w:szCs w:val="28"/>
                <w:highlight w:val="none"/>
              </w:rPr>
              <w:t>1.72</w:t>
            </w:r>
            <w:r>
              <w:rPr>
                <w:rFonts w:hint="eastAsia" w:ascii="仿宋" w:hAnsi="仿宋" w:eastAsia="仿宋" w:cs="仿宋"/>
                <w:color w:val="000000"/>
                <w:kern w:val="0"/>
                <w:sz w:val="28"/>
                <w:szCs w:val="28"/>
                <w:highlight w:val="none"/>
              </w:rPr>
              <w:t>万元。其中：手术费</w:t>
            </w:r>
            <w:r>
              <w:rPr>
                <w:rFonts w:ascii="仿宋" w:hAnsi="仿宋" w:eastAsia="仿宋" w:cs="仿宋"/>
                <w:color w:val="000000"/>
                <w:kern w:val="0"/>
                <w:sz w:val="28"/>
                <w:szCs w:val="28"/>
                <w:highlight w:val="none"/>
              </w:rPr>
              <w:t>1</w:t>
            </w:r>
            <w:r>
              <w:rPr>
                <w:rFonts w:hint="eastAsia" w:ascii="仿宋" w:hAnsi="仿宋" w:eastAsia="仿宋" w:cs="仿宋"/>
                <w:color w:val="000000"/>
                <w:kern w:val="0"/>
                <w:sz w:val="28"/>
                <w:szCs w:val="28"/>
                <w:highlight w:val="none"/>
              </w:rPr>
              <w:t>万元，术后矫形器装配</w:t>
            </w:r>
            <w:r>
              <w:rPr>
                <w:rFonts w:ascii="仿宋" w:hAnsi="仿宋" w:eastAsia="仿宋" w:cs="仿宋"/>
                <w:color w:val="000000"/>
                <w:kern w:val="0"/>
                <w:sz w:val="28"/>
                <w:szCs w:val="28"/>
                <w:highlight w:val="none"/>
              </w:rPr>
              <w:t>0.72</w:t>
            </w:r>
            <w:r>
              <w:rPr>
                <w:rFonts w:hint="eastAsia" w:ascii="仿宋" w:hAnsi="仿宋" w:eastAsia="仿宋" w:cs="仿宋"/>
                <w:color w:val="000000"/>
                <w:kern w:val="0"/>
                <w:sz w:val="28"/>
                <w:szCs w:val="28"/>
                <w:highlight w:val="none"/>
              </w:rPr>
              <w:t>万元。</w:t>
            </w:r>
          </w:p>
        </w:tc>
        <w:tc>
          <w:tcPr>
            <w:tcW w:w="363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一次性救助。</w:t>
            </w:r>
          </w:p>
        </w:tc>
      </w:tr>
      <w:tr>
        <w:tblPrEx>
          <w:tblCellMar>
            <w:top w:w="15" w:type="dxa"/>
            <w:left w:w="15" w:type="dxa"/>
            <w:bottom w:w="15" w:type="dxa"/>
            <w:right w:w="15" w:type="dxa"/>
          </w:tblCellMar>
        </w:tblPrEx>
        <w:trPr>
          <w:trHeight w:val="465"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仿宋" w:hAnsi="仿宋" w:eastAsia="仿宋" w:cs="仿宋"/>
                <w:color w:val="000000"/>
                <w:sz w:val="28"/>
                <w:szCs w:val="28"/>
                <w:highlight w:val="none"/>
              </w:rPr>
            </w:pPr>
            <w:r>
              <w:rPr>
                <w:rFonts w:ascii="仿宋" w:hAnsi="仿宋" w:eastAsia="仿宋" w:cs="仿宋"/>
                <w:color w:val="000000"/>
                <w:kern w:val="0"/>
                <w:sz w:val="28"/>
                <w:szCs w:val="28"/>
                <w:highlight w:val="none"/>
              </w:rPr>
              <w:t>4</w:t>
            </w:r>
          </w:p>
        </w:tc>
        <w:tc>
          <w:tcPr>
            <w:tcW w:w="2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rPr>
              <w:t>智力残疾儿童</w:t>
            </w:r>
          </w:p>
        </w:tc>
        <w:tc>
          <w:tcPr>
            <w:tcW w:w="71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rPr>
              <w:t>康复训练费</w:t>
            </w:r>
            <w:r>
              <w:rPr>
                <w:rFonts w:ascii="仿宋" w:hAnsi="仿宋" w:eastAsia="仿宋" w:cs="仿宋"/>
                <w:color w:val="000000"/>
                <w:kern w:val="0"/>
                <w:sz w:val="28"/>
                <w:szCs w:val="28"/>
                <w:highlight w:val="none"/>
              </w:rPr>
              <w:t>1.8</w:t>
            </w:r>
            <w:r>
              <w:rPr>
                <w:rFonts w:hint="eastAsia" w:ascii="仿宋" w:hAnsi="仿宋" w:eastAsia="仿宋" w:cs="仿宋"/>
                <w:color w:val="000000"/>
                <w:kern w:val="0"/>
                <w:sz w:val="28"/>
                <w:szCs w:val="28"/>
                <w:highlight w:val="none"/>
              </w:rPr>
              <w:t>万元</w:t>
            </w:r>
            <w:r>
              <w:rPr>
                <w:rFonts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rPr>
              <w:t>年（</w:t>
            </w:r>
            <w:r>
              <w:rPr>
                <w:rFonts w:ascii="仿宋" w:hAnsi="仿宋" w:eastAsia="仿宋" w:cs="仿宋"/>
                <w:color w:val="000000"/>
                <w:kern w:val="0"/>
                <w:sz w:val="28"/>
                <w:szCs w:val="28"/>
                <w:highlight w:val="none"/>
              </w:rPr>
              <w:t>10</w:t>
            </w:r>
            <w:r>
              <w:rPr>
                <w:rFonts w:hint="eastAsia" w:ascii="仿宋" w:hAnsi="仿宋" w:eastAsia="仿宋" w:cs="仿宋"/>
                <w:color w:val="000000"/>
                <w:kern w:val="0"/>
                <w:sz w:val="28"/>
                <w:szCs w:val="28"/>
                <w:highlight w:val="none"/>
              </w:rPr>
              <w:t>个月）。</w:t>
            </w:r>
          </w:p>
        </w:tc>
        <w:tc>
          <w:tcPr>
            <w:tcW w:w="363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康复训练</w:t>
            </w:r>
            <w:r>
              <w:rPr>
                <w:rFonts w:ascii="仿宋" w:hAnsi="仿宋" w:eastAsia="仿宋" w:cs="仿宋"/>
                <w:color w:val="000000"/>
                <w:kern w:val="0"/>
                <w:sz w:val="28"/>
                <w:szCs w:val="28"/>
                <w:highlight w:val="none"/>
              </w:rPr>
              <w:t>0-</w:t>
            </w:r>
            <w:r>
              <w:rPr>
                <w:rFonts w:hint="eastAsia" w:ascii="仿宋" w:hAnsi="仿宋" w:eastAsia="仿宋" w:cs="仿宋"/>
                <w:color w:val="000000"/>
                <w:kern w:val="0"/>
                <w:sz w:val="28"/>
                <w:szCs w:val="28"/>
                <w:highlight w:val="none"/>
                <w:lang w:val="en-US" w:eastAsia="zh-CN"/>
              </w:rPr>
              <w:t>8</w:t>
            </w:r>
            <w:r>
              <w:rPr>
                <w:rFonts w:hint="eastAsia" w:ascii="仿宋" w:hAnsi="仿宋" w:eastAsia="仿宋" w:cs="仿宋"/>
                <w:color w:val="000000"/>
                <w:kern w:val="0"/>
                <w:sz w:val="28"/>
                <w:szCs w:val="28"/>
                <w:highlight w:val="none"/>
              </w:rPr>
              <w:t>岁年龄段内可连续救助。</w:t>
            </w:r>
          </w:p>
        </w:tc>
      </w:tr>
      <w:tr>
        <w:tblPrEx>
          <w:tblCellMar>
            <w:top w:w="15" w:type="dxa"/>
            <w:left w:w="15" w:type="dxa"/>
            <w:bottom w:w="15" w:type="dxa"/>
            <w:right w:w="15" w:type="dxa"/>
          </w:tblCellMar>
        </w:tblPrEx>
        <w:trPr>
          <w:trHeight w:val="465"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仿宋" w:hAnsi="仿宋" w:eastAsia="仿宋" w:cs="仿宋"/>
                <w:color w:val="000000"/>
                <w:sz w:val="28"/>
                <w:szCs w:val="28"/>
                <w:highlight w:val="none"/>
              </w:rPr>
            </w:pPr>
            <w:r>
              <w:rPr>
                <w:rFonts w:ascii="仿宋" w:hAnsi="仿宋" w:eastAsia="仿宋" w:cs="仿宋"/>
                <w:color w:val="000000"/>
                <w:kern w:val="0"/>
                <w:sz w:val="28"/>
                <w:szCs w:val="28"/>
                <w:highlight w:val="none"/>
              </w:rPr>
              <w:t>5</w:t>
            </w:r>
          </w:p>
        </w:tc>
        <w:tc>
          <w:tcPr>
            <w:tcW w:w="2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rPr>
              <w:t>孤独症儿童</w:t>
            </w:r>
          </w:p>
        </w:tc>
        <w:tc>
          <w:tcPr>
            <w:tcW w:w="71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rPr>
              <w:t>康复训练费</w:t>
            </w:r>
            <w:r>
              <w:rPr>
                <w:rFonts w:ascii="仿宋" w:hAnsi="仿宋" w:eastAsia="仿宋" w:cs="仿宋"/>
                <w:color w:val="000000"/>
                <w:kern w:val="0"/>
                <w:sz w:val="28"/>
                <w:szCs w:val="28"/>
                <w:highlight w:val="none"/>
              </w:rPr>
              <w:t>1.8</w:t>
            </w:r>
            <w:r>
              <w:rPr>
                <w:rFonts w:hint="eastAsia" w:ascii="仿宋" w:hAnsi="仿宋" w:eastAsia="仿宋" w:cs="仿宋"/>
                <w:color w:val="000000"/>
                <w:kern w:val="0"/>
                <w:sz w:val="28"/>
                <w:szCs w:val="28"/>
                <w:highlight w:val="none"/>
              </w:rPr>
              <w:t>万元</w:t>
            </w:r>
            <w:r>
              <w:rPr>
                <w:rFonts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rPr>
              <w:t>年（</w:t>
            </w:r>
            <w:r>
              <w:rPr>
                <w:rFonts w:ascii="仿宋" w:hAnsi="仿宋" w:eastAsia="仿宋" w:cs="仿宋"/>
                <w:color w:val="000000"/>
                <w:kern w:val="0"/>
                <w:sz w:val="28"/>
                <w:szCs w:val="28"/>
                <w:highlight w:val="none"/>
              </w:rPr>
              <w:t>10</w:t>
            </w:r>
            <w:r>
              <w:rPr>
                <w:rFonts w:hint="eastAsia" w:ascii="仿宋" w:hAnsi="仿宋" w:eastAsia="仿宋" w:cs="仿宋"/>
                <w:color w:val="000000"/>
                <w:kern w:val="0"/>
                <w:sz w:val="28"/>
                <w:szCs w:val="28"/>
                <w:highlight w:val="none"/>
              </w:rPr>
              <w:t>个月）。</w:t>
            </w:r>
          </w:p>
        </w:tc>
        <w:tc>
          <w:tcPr>
            <w:tcW w:w="363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康复训练</w:t>
            </w:r>
            <w:r>
              <w:rPr>
                <w:rFonts w:ascii="仿宋" w:hAnsi="仿宋" w:eastAsia="仿宋" w:cs="仿宋"/>
                <w:color w:val="000000"/>
                <w:kern w:val="0"/>
                <w:sz w:val="28"/>
                <w:szCs w:val="28"/>
                <w:highlight w:val="none"/>
              </w:rPr>
              <w:t>0-</w:t>
            </w:r>
            <w:r>
              <w:rPr>
                <w:rFonts w:hint="eastAsia" w:ascii="仿宋" w:hAnsi="仿宋" w:eastAsia="仿宋" w:cs="仿宋"/>
                <w:color w:val="000000"/>
                <w:kern w:val="0"/>
                <w:sz w:val="28"/>
                <w:szCs w:val="28"/>
                <w:highlight w:val="none"/>
                <w:lang w:val="en-US" w:eastAsia="zh-CN"/>
              </w:rPr>
              <w:t>8</w:t>
            </w:r>
            <w:r>
              <w:rPr>
                <w:rFonts w:hint="eastAsia" w:ascii="仿宋" w:hAnsi="仿宋" w:eastAsia="仿宋" w:cs="仿宋"/>
                <w:color w:val="000000"/>
                <w:kern w:val="0"/>
                <w:sz w:val="28"/>
                <w:szCs w:val="28"/>
                <w:highlight w:val="none"/>
              </w:rPr>
              <w:t>岁年龄段内可连续救助。</w:t>
            </w:r>
          </w:p>
        </w:tc>
      </w:tr>
      <w:tr>
        <w:tblPrEx>
          <w:tblCellMar>
            <w:top w:w="15" w:type="dxa"/>
            <w:left w:w="15" w:type="dxa"/>
            <w:bottom w:w="15" w:type="dxa"/>
            <w:right w:w="15" w:type="dxa"/>
          </w:tblCellMar>
        </w:tblPrEx>
        <w:trPr>
          <w:trHeight w:val="640" w:hRule="atLeast"/>
        </w:trPr>
        <w:tc>
          <w:tcPr>
            <w:tcW w:w="9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仿宋" w:hAnsi="仿宋" w:eastAsia="仿宋" w:cs="仿宋"/>
                <w:color w:val="000000"/>
                <w:sz w:val="28"/>
                <w:szCs w:val="28"/>
                <w:highlight w:val="none"/>
              </w:rPr>
            </w:pPr>
            <w:r>
              <w:rPr>
                <w:rFonts w:ascii="仿宋" w:hAnsi="仿宋" w:eastAsia="仿宋" w:cs="仿宋"/>
                <w:color w:val="000000"/>
                <w:kern w:val="0"/>
                <w:sz w:val="28"/>
                <w:szCs w:val="28"/>
                <w:highlight w:val="none"/>
              </w:rPr>
              <w:t>6</w:t>
            </w:r>
          </w:p>
        </w:tc>
        <w:tc>
          <w:tcPr>
            <w:tcW w:w="22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rPr>
              <w:t>辅助器具适配</w:t>
            </w:r>
          </w:p>
        </w:tc>
        <w:tc>
          <w:tcPr>
            <w:tcW w:w="71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top"/>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rPr>
              <w:t>视力残疾儿童人均</w:t>
            </w:r>
            <w:r>
              <w:rPr>
                <w:rFonts w:ascii="仿宋" w:hAnsi="仿宋" w:eastAsia="仿宋" w:cs="仿宋"/>
                <w:color w:val="000000"/>
                <w:kern w:val="0"/>
                <w:sz w:val="28"/>
                <w:szCs w:val="28"/>
                <w:highlight w:val="none"/>
              </w:rPr>
              <w:t>1000</w:t>
            </w:r>
            <w:r>
              <w:rPr>
                <w:rFonts w:hint="eastAsia" w:ascii="仿宋" w:hAnsi="仿宋" w:eastAsia="仿宋" w:cs="仿宋"/>
                <w:color w:val="000000"/>
                <w:kern w:val="0"/>
                <w:sz w:val="28"/>
                <w:szCs w:val="28"/>
                <w:highlight w:val="none"/>
              </w:rPr>
              <w:t>元。</w:t>
            </w:r>
          </w:p>
        </w:tc>
        <w:tc>
          <w:tcPr>
            <w:tcW w:w="363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top"/>
              <w:rPr>
                <w:rFonts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适配视力类辅具</w:t>
            </w:r>
            <w:r>
              <w:rPr>
                <w:rFonts w:ascii="仿宋" w:hAnsi="仿宋" w:eastAsia="仿宋" w:cs="仿宋"/>
                <w:color w:val="000000"/>
                <w:sz w:val="28"/>
                <w:szCs w:val="28"/>
                <w:highlight w:val="none"/>
              </w:rPr>
              <w:t>2</w:t>
            </w:r>
            <w:r>
              <w:rPr>
                <w:rFonts w:hint="eastAsia" w:ascii="仿宋" w:hAnsi="仿宋" w:eastAsia="仿宋" w:cs="仿宋"/>
                <w:color w:val="000000"/>
                <w:sz w:val="28"/>
                <w:szCs w:val="28"/>
                <w:highlight w:val="none"/>
              </w:rPr>
              <w:t>年内不重复补助。</w:t>
            </w:r>
          </w:p>
        </w:tc>
      </w:tr>
      <w:tr>
        <w:tblPrEx>
          <w:tblCellMar>
            <w:top w:w="15" w:type="dxa"/>
            <w:left w:w="15" w:type="dxa"/>
            <w:bottom w:w="15" w:type="dxa"/>
            <w:right w:w="15" w:type="dxa"/>
          </w:tblCellMar>
        </w:tblPrEx>
        <w:trPr>
          <w:trHeight w:val="1190" w:hRule="atLeast"/>
        </w:trPr>
        <w:tc>
          <w:tcPr>
            <w:tcW w:w="9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rPr>
                <w:rFonts w:ascii="仿宋" w:hAnsi="仿宋" w:eastAsia="仿宋" w:cs="仿宋"/>
                <w:color w:val="000000"/>
                <w:sz w:val="28"/>
                <w:szCs w:val="28"/>
                <w:highlight w:val="none"/>
              </w:rPr>
            </w:pPr>
          </w:p>
        </w:tc>
        <w:tc>
          <w:tcPr>
            <w:tcW w:w="2275"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rPr>
                <w:rFonts w:ascii="仿宋" w:hAnsi="仿宋" w:eastAsia="仿宋" w:cs="仿宋"/>
                <w:color w:val="000000"/>
                <w:sz w:val="28"/>
                <w:szCs w:val="28"/>
                <w:highlight w:val="none"/>
              </w:rPr>
            </w:pPr>
          </w:p>
        </w:tc>
        <w:tc>
          <w:tcPr>
            <w:tcW w:w="71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top"/>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rPr>
              <w:t>肢体残疾儿童大腿假肢</w:t>
            </w:r>
            <w:r>
              <w:rPr>
                <w:rFonts w:ascii="仿宋" w:hAnsi="仿宋" w:eastAsia="仿宋" w:cs="仿宋"/>
                <w:color w:val="000000"/>
                <w:kern w:val="0"/>
                <w:sz w:val="28"/>
                <w:szCs w:val="28"/>
                <w:highlight w:val="none"/>
              </w:rPr>
              <w:t>3000</w:t>
            </w:r>
            <w:r>
              <w:rPr>
                <w:rFonts w:hint="eastAsia" w:ascii="仿宋" w:hAnsi="仿宋" w:eastAsia="仿宋" w:cs="仿宋"/>
                <w:color w:val="000000"/>
                <w:kern w:val="0"/>
                <w:sz w:val="28"/>
                <w:szCs w:val="28"/>
                <w:highlight w:val="none"/>
              </w:rPr>
              <w:t>元、小腿假肢</w:t>
            </w:r>
            <w:r>
              <w:rPr>
                <w:rFonts w:ascii="仿宋" w:hAnsi="仿宋" w:eastAsia="仿宋" w:cs="仿宋"/>
                <w:color w:val="000000"/>
                <w:kern w:val="0"/>
                <w:sz w:val="28"/>
                <w:szCs w:val="28"/>
                <w:highlight w:val="none"/>
              </w:rPr>
              <w:t>1200</w:t>
            </w:r>
            <w:r>
              <w:rPr>
                <w:rFonts w:hint="eastAsia" w:ascii="仿宋" w:hAnsi="仿宋" w:eastAsia="仿宋" w:cs="仿宋"/>
                <w:color w:val="000000"/>
                <w:kern w:val="0"/>
                <w:sz w:val="28"/>
                <w:szCs w:val="28"/>
                <w:highlight w:val="none"/>
              </w:rPr>
              <w:t>元、膝离断和髋离断假肢</w:t>
            </w:r>
            <w:r>
              <w:rPr>
                <w:rFonts w:ascii="仿宋" w:hAnsi="仿宋" w:eastAsia="仿宋" w:cs="仿宋"/>
                <w:color w:val="000000"/>
                <w:kern w:val="0"/>
                <w:sz w:val="28"/>
                <w:szCs w:val="28"/>
                <w:highlight w:val="none"/>
              </w:rPr>
              <w:t>5000</w:t>
            </w:r>
            <w:r>
              <w:rPr>
                <w:rFonts w:hint="eastAsia" w:ascii="仿宋" w:hAnsi="仿宋" w:eastAsia="仿宋" w:cs="仿宋"/>
                <w:color w:val="000000"/>
                <w:kern w:val="0"/>
                <w:sz w:val="28"/>
                <w:szCs w:val="28"/>
                <w:highlight w:val="none"/>
              </w:rPr>
              <w:t>元。矫形器装配人均</w:t>
            </w:r>
            <w:r>
              <w:rPr>
                <w:rFonts w:ascii="仿宋" w:hAnsi="仿宋" w:eastAsia="仿宋" w:cs="仿宋"/>
                <w:color w:val="000000"/>
                <w:kern w:val="0"/>
                <w:sz w:val="28"/>
                <w:szCs w:val="28"/>
                <w:highlight w:val="none"/>
              </w:rPr>
              <w:t>1500</w:t>
            </w:r>
            <w:r>
              <w:rPr>
                <w:rFonts w:hint="eastAsia" w:ascii="仿宋" w:hAnsi="仿宋" w:eastAsia="仿宋" w:cs="仿宋"/>
                <w:color w:val="000000"/>
                <w:kern w:val="0"/>
                <w:sz w:val="28"/>
                <w:szCs w:val="28"/>
                <w:highlight w:val="none"/>
              </w:rPr>
              <w:t>元。其他肢体类辅具补助人均</w:t>
            </w:r>
            <w:r>
              <w:rPr>
                <w:rFonts w:ascii="仿宋" w:hAnsi="仿宋" w:eastAsia="仿宋" w:cs="仿宋"/>
                <w:color w:val="000000"/>
                <w:kern w:val="0"/>
                <w:sz w:val="28"/>
                <w:szCs w:val="28"/>
                <w:highlight w:val="none"/>
              </w:rPr>
              <w:t>1000</w:t>
            </w:r>
            <w:r>
              <w:rPr>
                <w:rFonts w:hint="eastAsia" w:ascii="仿宋" w:hAnsi="仿宋" w:eastAsia="仿宋" w:cs="仿宋"/>
                <w:color w:val="000000"/>
                <w:kern w:val="0"/>
                <w:sz w:val="28"/>
                <w:szCs w:val="28"/>
                <w:highlight w:val="none"/>
              </w:rPr>
              <w:t>元。</w:t>
            </w:r>
          </w:p>
        </w:tc>
        <w:tc>
          <w:tcPr>
            <w:tcW w:w="363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textAlignment w:val="top"/>
              <w:rPr>
                <w:rFonts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装配假肢</w:t>
            </w:r>
            <w:r>
              <w:rPr>
                <w:rFonts w:ascii="仿宋" w:hAnsi="仿宋" w:eastAsia="仿宋" w:cs="仿宋"/>
                <w:color w:val="000000"/>
                <w:sz w:val="28"/>
                <w:szCs w:val="28"/>
                <w:highlight w:val="none"/>
              </w:rPr>
              <w:t>1</w:t>
            </w:r>
            <w:r>
              <w:rPr>
                <w:rFonts w:hint="eastAsia" w:ascii="仿宋" w:hAnsi="仿宋" w:eastAsia="仿宋" w:cs="仿宋"/>
                <w:color w:val="000000"/>
                <w:sz w:val="28"/>
                <w:szCs w:val="28"/>
                <w:highlight w:val="none"/>
              </w:rPr>
              <w:t>年内不重复补助；装配矫形器</w:t>
            </w:r>
            <w:r>
              <w:rPr>
                <w:rFonts w:ascii="仿宋" w:hAnsi="仿宋" w:eastAsia="仿宋" w:cs="仿宋"/>
                <w:color w:val="000000"/>
                <w:sz w:val="28"/>
                <w:szCs w:val="28"/>
                <w:highlight w:val="none"/>
              </w:rPr>
              <w:t>1</w:t>
            </w:r>
            <w:r>
              <w:rPr>
                <w:rFonts w:hint="eastAsia" w:ascii="仿宋" w:hAnsi="仿宋" w:eastAsia="仿宋" w:cs="仿宋"/>
                <w:color w:val="000000"/>
                <w:sz w:val="28"/>
                <w:szCs w:val="28"/>
                <w:highlight w:val="none"/>
              </w:rPr>
              <w:t>年内不重复补助；其他肢体类辅具</w:t>
            </w:r>
            <w:r>
              <w:rPr>
                <w:rFonts w:ascii="仿宋" w:hAnsi="仿宋" w:eastAsia="仿宋" w:cs="仿宋"/>
                <w:color w:val="000000"/>
                <w:sz w:val="28"/>
                <w:szCs w:val="28"/>
                <w:highlight w:val="none"/>
              </w:rPr>
              <w:t>2</w:t>
            </w:r>
            <w:r>
              <w:rPr>
                <w:rFonts w:hint="eastAsia" w:ascii="仿宋" w:hAnsi="仿宋" w:eastAsia="仿宋" w:cs="仿宋"/>
                <w:color w:val="000000"/>
                <w:sz w:val="28"/>
                <w:szCs w:val="28"/>
                <w:highlight w:val="none"/>
              </w:rPr>
              <w:t>年内不重复补助。</w:t>
            </w:r>
          </w:p>
        </w:tc>
      </w:tr>
    </w:tbl>
    <w:p>
      <w:pPr>
        <w:keepNext w:val="0"/>
        <w:keepLines w:val="0"/>
        <w:pageBreakBefore w:val="0"/>
        <w:kinsoku/>
        <w:wordWrap/>
        <w:overflowPunct/>
        <w:topLinePunct w:val="0"/>
        <w:autoSpaceDE/>
        <w:autoSpaceDN/>
        <w:bidi w:val="0"/>
        <w:adjustRightInd/>
        <w:snapToGrid/>
        <w:spacing w:line="580" w:lineRule="exact"/>
        <w:rPr>
          <w:rFonts w:ascii="仿宋" w:hAnsi="仿宋" w:eastAsia="仿宋" w:cs="仿宋"/>
          <w:b/>
          <w:bCs/>
          <w:color w:val="000000"/>
          <w:sz w:val="32"/>
          <w:szCs w:val="32"/>
          <w:highlight w:val="none"/>
        </w:rPr>
      </w:pP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roman"/>
    <w:pitch w:val="default"/>
    <w:sig w:usb0="00000000" w:usb1="00000000" w:usb2="00000000" w:usb3="00000000" w:csb0="00040000"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Segoe UI">
    <w:altName w:val="Noto Naskh Arabic"/>
    <w:panose1 w:val="020B0502040204020203"/>
    <w:charset w:val="00"/>
    <w:family w:val="swiss"/>
    <w:pitch w:val="default"/>
    <w:sig w:usb0="00000000" w:usb1="00000000" w:usb2="00000009" w:usb3="00000000" w:csb0="200001FF" w:csb1="00000000"/>
  </w:font>
  <w:font w:name="Noto Naskh Arabic">
    <w:panose1 w:val="020B0502040504020204"/>
    <w:charset w:val="00"/>
    <w:family w:val="auto"/>
    <w:pitch w:val="default"/>
    <w:sig w:usb0="80002003" w:usb1="80002000" w:usb2="00000008" w:usb3="00000000" w:csb0="00000041" w:csb1="0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ZTNmNzEwM2I2YjFjZTBiYjUzMDk1NWNiYzUxNDkifQ=="/>
  </w:docVars>
  <w:rsids>
    <w:rsidRoot w:val="5B8550DC"/>
    <w:rsid w:val="000555E7"/>
    <w:rsid w:val="00062156"/>
    <w:rsid w:val="00065EA5"/>
    <w:rsid w:val="000757E3"/>
    <w:rsid w:val="000864FC"/>
    <w:rsid w:val="000936A1"/>
    <w:rsid w:val="000F381F"/>
    <w:rsid w:val="0018588C"/>
    <w:rsid w:val="001A0524"/>
    <w:rsid w:val="001A494E"/>
    <w:rsid w:val="001F1600"/>
    <w:rsid w:val="002259C4"/>
    <w:rsid w:val="0026653D"/>
    <w:rsid w:val="00270BE1"/>
    <w:rsid w:val="00286EB3"/>
    <w:rsid w:val="002A3283"/>
    <w:rsid w:val="002B1A27"/>
    <w:rsid w:val="002B3440"/>
    <w:rsid w:val="002F391D"/>
    <w:rsid w:val="0030746B"/>
    <w:rsid w:val="00313F10"/>
    <w:rsid w:val="003600FC"/>
    <w:rsid w:val="00360DC3"/>
    <w:rsid w:val="00362973"/>
    <w:rsid w:val="003A4A4E"/>
    <w:rsid w:val="003B11F0"/>
    <w:rsid w:val="00443F92"/>
    <w:rsid w:val="00445570"/>
    <w:rsid w:val="0047211F"/>
    <w:rsid w:val="004921A9"/>
    <w:rsid w:val="004A6E30"/>
    <w:rsid w:val="004F2FCC"/>
    <w:rsid w:val="00505AD0"/>
    <w:rsid w:val="00524350"/>
    <w:rsid w:val="00526B2E"/>
    <w:rsid w:val="00554A81"/>
    <w:rsid w:val="00566E97"/>
    <w:rsid w:val="0057493C"/>
    <w:rsid w:val="00574F0B"/>
    <w:rsid w:val="00595BF7"/>
    <w:rsid w:val="005C6583"/>
    <w:rsid w:val="006022C5"/>
    <w:rsid w:val="00611C4F"/>
    <w:rsid w:val="00646FD9"/>
    <w:rsid w:val="006734A0"/>
    <w:rsid w:val="00684BC4"/>
    <w:rsid w:val="006B5E04"/>
    <w:rsid w:val="00756459"/>
    <w:rsid w:val="007619F0"/>
    <w:rsid w:val="0077152C"/>
    <w:rsid w:val="007A0F7D"/>
    <w:rsid w:val="007F597C"/>
    <w:rsid w:val="0082651F"/>
    <w:rsid w:val="0082710E"/>
    <w:rsid w:val="008717A7"/>
    <w:rsid w:val="00875FCE"/>
    <w:rsid w:val="00892055"/>
    <w:rsid w:val="009855CA"/>
    <w:rsid w:val="009C4C33"/>
    <w:rsid w:val="009E4718"/>
    <w:rsid w:val="00A1401B"/>
    <w:rsid w:val="00A33772"/>
    <w:rsid w:val="00A50B21"/>
    <w:rsid w:val="00A94FAA"/>
    <w:rsid w:val="00AB3918"/>
    <w:rsid w:val="00AB7209"/>
    <w:rsid w:val="00AD514D"/>
    <w:rsid w:val="00B743E4"/>
    <w:rsid w:val="00C3256A"/>
    <w:rsid w:val="00C60521"/>
    <w:rsid w:val="00C776EE"/>
    <w:rsid w:val="00C91899"/>
    <w:rsid w:val="00C941C6"/>
    <w:rsid w:val="00CA33FF"/>
    <w:rsid w:val="00CC70A4"/>
    <w:rsid w:val="00CE0900"/>
    <w:rsid w:val="00CF1414"/>
    <w:rsid w:val="00CF3570"/>
    <w:rsid w:val="00D16841"/>
    <w:rsid w:val="00D36710"/>
    <w:rsid w:val="00D877A1"/>
    <w:rsid w:val="00DA5776"/>
    <w:rsid w:val="00DE1970"/>
    <w:rsid w:val="00E45B57"/>
    <w:rsid w:val="00E56937"/>
    <w:rsid w:val="00E56DB0"/>
    <w:rsid w:val="00EC2D75"/>
    <w:rsid w:val="00F00DCA"/>
    <w:rsid w:val="00F23EC3"/>
    <w:rsid w:val="00F25E36"/>
    <w:rsid w:val="00F44BB1"/>
    <w:rsid w:val="00F452C6"/>
    <w:rsid w:val="00FD4775"/>
    <w:rsid w:val="01C963F3"/>
    <w:rsid w:val="01F40E36"/>
    <w:rsid w:val="021E7A01"/>
    <w:rsid w:val="04966C88"/>
    <w:rsid w:val="056328AB"/>
    <w:rsid w:val="057428B1"/>
    <w:rsid w:val="06E84785"/>
    <w:rsid w:val="0A807C8E"/>
    <w:rsid w:val="0B2E23FE"/>
    <w:rsid w:val="0C25590A"/>
    <w:rsid w:val="0DE205D6"/>
    <w:rsid w:val="0E2F1461"/>
    <w:rsid w:val="10707FD0"/>
    <w:rsid w:val="1169727E"/>
    <w:rsid w:val="11DA1965"/>
    <w:rsid w:val="123C676E"/>
    <w:rsid w:val="128855EF"/>
    <w:rsid w:val="138F1177"/>
    <w:rsid w:val="13C31413"/>
    <w:rsid w:val="17273203"/>
    <w:rsid w:val="17346930"/>
    <w:rsid w:val="182F5399"/>
    <w:rsid w:val="18C14D33"/>
    <w:rsid w:val="1A3C2CB1"/>
    <w:rsid w:val="1BA664AB"/>
    <w:rsid w:val="1BFE042E"/>
    <w:rsid w:val="1D306ECF"/>
    <w:rsid w:val="1D8161CC"/>
    <w:rsid w:val="1E2D2EF5"/>
    <w:rsid w:val="20E56375"/>
    <w:rsid w:val="20EC70BB"/>
    <w:rsid w:val="21B7169B"/>
    <w:rsid w:val="21E770BE"/>
    <w:rsid w:val="22603DB2"/>
    <w:rsid w:val="226F7F3C"/>
    <w:rsid w:val="25BB0F36"/>
    <w:rsid w:val="26496142"/>
    <w:rsid w:val="28E04B18"/>
    <w:rsid w:val="29534671"/>
    <w:rsid w:val="2A040651"/>
    <w:rsid w:val="2D66010F"/>
    <w:rsid w:val="2F217600"/>
    <w:rsid w:val="30B31E99"/>
    <w:rsid w:val="30EF2850"/>
    <w:rsid w:val="34553628"/>
    <w:rsid w:val="34A50E4D"/>
    <w:rsid w:val="353E4F55"/>
    <w:rsid w:val="35EB7B7F"/>
    <w:rsid w:val="361A0782"/>
    <w:rsid w:val="361C54AC"/>
    <w:rsid w:val="38441083"/>
    <w:rsid w:val="38EA71DD"/>
    <w:rsid w:val="39732DC8"/>
    <w:rsid w:val="3AA67993"/>
    <w:rsid w:val="3EAB58ED"/>
    <w:rsid w:val="41447012"/>
    <w:rsid w:val="41631907"/>
    <w:rsid w:val="42E54791"/>
    <w:rsid w:val="43C10A9F"/>
    <w:rsid w:val="44094FC4"/>
    <w:rsid w:val="44467090"/>
    <w:rsid w:val="46DF1B7F"/>
    <w:rsid w:val="483D3545"/>
    <w:rsid w:val="48612933"/>
    <w:rsid w:val="4ADF520B"/>
    <w:rsid w:val="4B845BE7"/>
    <w:rsid w:val="4B877338"/>
    <w:rsid w:val="4C080E93"/>
    <w:rsid w:val="4C854E2C"/>
    <w:rsid w:val="4CEA02F6"/>
    <w:rsid w:val="4E016B21"/>
    <w:rsid w:val="4E054024"/>
    <w:rsid w:val="4E68505E"/>
    <w:rsid w:val="4F9A20AF"/>
    <w:rsid w:val="51091C71"/>
    <w:rsid w:val="532917C4"/>
    <w:rsid w:val="571903F8"/>
    <w:rsid w:val="572F589B"/>
    <w:rsid w:val="577B171B"/>
    <w:rsid w:val="578977AE"/>
    <w:rsid w:val="57D63350"/>
    <w:rsid w:val="58306652"/>
    <w:rsid w:val="58DC4ABF"/>
    <w:rsid w:val="5B8550DC"/>
    <w:rsid w:val="5BAD400B"/>
    <w:rsid w:val="5D4570F1"/>
    <w:rsid w:val="5DCA5FA9"/>
    <w:rsid w:val="5E39312E"/>
    <w:rsid w:val="5E515A83"/>
    <w:rsid w:val="623A5A42"/>
    <w:rsid w:val="632A7FE2"/>
    <w:rsid w:val="650B3414"/>
    <w:rsid w:val="65C854C3"/>
    <w:rsid w:val="69EE7BA9"/>
    <w:rsid w:val="6A224464"/>
    <w:rsid w:val="6A30039D"/>
    <w:rsid w:val="6A406067"/>
    <w:rsid w:val="6B596BBE"/>
    <w:rsid w:val="6B634627"/>
    <w:rsid w:val="6CF1469F"/>
    <w:rsid w:val="6D2715C0"/>
    <w:rsid w:val="6F417C94"/>
    <w:rsid w:val="6F456382"/>
    <w:rsid w:val="70061528"/>
    <w:rsid w:val="73516FDB"/>
    <w:rsid w:val="736C0445"/>
    <w:rsid w:val="73F760E5"/>
    <w:rsid w:val="74F44455"/>
    <w:rsid w:val="758F6510"/>
    <w:rsid w:val="76026FB3"/>
    <w:rsid w:val="768F5B89"/>
    <w:rsid w:val="76E557A9"/>
    <w:rsid w:val="78C61257"/>
    <w:rsid w:val="79823556"/>
    <w:rsid w:val="7A7F1A71"/>
    <w:rsid w:val="7A806414"/>
    <w:rsid w:val="7B183E60"/>
    <w:rsid w:val="7D4B252B"/>
    <w:rsid w:val="7D6F62E3"/>
    <w:rsid w:val="7E9F5BF9"/>
    <w:rsid w:val="7EAA2BE8"/>
    <w:rsid w:val="7F567303"/>
    <w:rsid w:val="EFBF91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Balloon Text Char"/>
    <w:basedOn w:val="8"/>
    <w:link w:val="2"/>
    <w:qFormat/>
    <w:locked/>
    <w:uiPriority w:val="99"/>
    <w:rPr>
      <w:rFonts w:cs="Times New Roman"/>
      <w:kern w:val="2"/>
      <w:sz w:val="18"/>
      <w:szCs w:val="18"/>
    </w:rPr>
  </w:style>
  <w:style w:type="character" w:customStyle="1" w:styleId="10">
    <w:name w:val="Footer Char"/>
    <w:basedOn w:val="8"/>
    <w:link w:val="3"/>
    <w:qFormat/>
    <w:locked/>
    <w:uiPriority w:val="99"/>
    <w:rPr>
      <w:rFonts w:cs="Times New Roman"/>
      <w:kern w:val="2"/>
      <w:sz w:val="18"/>
      <w:szCs w:val="18"/>
    </w:rPr>
  </w:style>
  <w:style w:type="character" w:customStyle="1" w:styleId="11">
    <w:name w:val="Header Char"/>
    <w:basedOn w:val="8"/>
    <w:link w:val="4"/>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Pages>
  <Words>4402</Words>
  <Characters>4482</Characters>
  <Lines>0</Lines>
  <Paragraphs>0</Paragraphs>
  <TotalTime>13</TotalTime>
  <ScaleCrop>false</ScaleCrop>
  <LinksUpToDate>false</LinksUpToDate>
  <CharactersWithSpaces>4523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2018-09-30T14:12:00Z</dcterms:created>
  <dc:creator>eder</dc:creator>
  <cp:lastModifiedBy>greatwall</cp:lastModifiedBy>
  <cp:lastPrinted>2025-03-07T15:44:00Z</cp:lastPrinted>
  <dcterms:modified xsi:type="dcterms:W3CDTF">2025-03-20T14:28:41Z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9D0F30F2260444A98E2B08044A12959A_12</vt:lpwstr>
  </property>
</Properties>
</file>